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373"/>
        <w:gridCol w:w="1440"/>
        <w:gridCol w:w="1440"/>
        <w:gridCol w:w="2765"/>
      </w:tblGrid>
      <w:tr w:rsidR="00CB720B" w14:paraId="0444F9B2" w14:textId="77777777" w:rsidTr="00DC7748">
        <w:tc>
          <w:tcPr>
            <w:tcW w:w="11016" w:type="dxa"/>
            <w:gridSpan w:val="5"/>
            <w:tcBorders>
              <w:bottom w:val="single" w:sz="4" w:space="0" w:color="auto"/>
            </w:tcBorders>
          </w:tcPr>
          <w:p w14:paraId="09AE7180" w14:textId="2539999B" w:rsidR="00CB720B" w:rsidRPr="00CB720B" w:rsidRDefault="00CB720B" w:rsidP="00F47D62">
            <w:pPr>
              <w:autoSpaceDE w:val="0"/>
              <w:autoSpaceDN w:val="0"/>
              <w:spacing w:after="160"/>
              <w:jc w:val="right"/>
              <w:rPr>
                <w:rFonts w:ascii="Arial" w:eastAsia="Times New Roman" w:hAnsi="Arial" w:cs="Times New Roman"/>
                <w:sz w:val="16"/>
                <w:szCs w:val="24"/>
              </w:rPr>
            </w:pPr>
          </w:p>
        </w:tc>
      </w:tr>
      <w:tr w:rsidR="00CB720B" w14:paraId="58DA4C91" w14:textId="77777777" w:rsidTr="00DC7748">
        <w:tc>
          <w:tcPr>
            <w:tcW w:w="11016" w:type="dxa"/>
            <w:gridSpan w:val="5"/>
            <w:tcBorders>
              <w:top w:val="single" w:sz="4" w:space="0" w:color="auto"/>
              <w:bottom w:val="single" w:sz="4" w:space="0" w:color="auto"/>
            </w:tcBorders>
          </w:tcPr>
          <w:p w14:paraId="652BCBFF" w14:textId="77777777" w:rsidR="00CB720B" w:rsidRPr="00CB720B" w:rsidRDefault="00CB720B" w:rsidP="00F47D62">
            <w:pPr>
              <w:jc w:val="center"/>
              <w:rPr>
                <w:rFonts w:ascii="Arial" w:hAnsi="Arial" w:cs="Arial"/>
                <w:b/>
              </w:rPr>
            </w:pPr>
            <w:r w:rsidRPr="00CB720B">
              <w:rPr>
                <w:rFonts w:ascii="Arial" w:hAnsi="Arial" w:cs="Arial"/>
                <w:b/>
              </w:rPr>
              <w:t>BIOGRAPHICAL SKETCH</w:t>
            </w:r>
          </w:p>
          <w:p w14:paraId="5C3DE787" w14:textId="77777777" w:rsidR="00CB720B" w:rsidRPr="00CB720B" w:rsidRDefault="00CB720B" w:rsidP="00F47D62">
            <w:pPr>
              <w:jc w:val="center"/>
              <w:rPr>
                <w:rFonts w:ascii="Arial" w:hAnsi="Arial" w:cs="Arial"/>
                <w:sz w:val="16"/>
                <w:szCs w:val="16"/>
              </w:rPr>
            </w:pPr>
            <w:r w:rsidRPr="00CB720B">
              <w:rPr>
                <w:rFonts w:ascii="Arial" w:hAnsi="Arial" w:cs="Arial"/>
                <w:sz w:val="16"/>
                <w:szCs w:val="16"/>
              </w:rPr>
              <w:t>Provide the following information for the Senior/key personnel and other significant contributors.</w:t>
            </w:r>
          </w:p>
          <w:p w14:paraId="4DE8037A" w14:textId="77777777" w:rsidR="00CB720B" w:rsidRPr="00F47D62" w:rsidRDefault="00CB720B" w:rsidP="00F47D62">
            <w:pPr>
              <w:spacing w:after="160"/>
              <w:jc w:val="center"/>
              <w:rPr>
                <w:rFonts w:ascii="Arial" w:hAnsi="Arial" w:cs="Arial"/>
                <w:b/>
                <w:sz w:val="16"/>
                <w:szCs w:val="16"/>
              </w:rPr>
            </w:pPr>
            <w:r w:rsidRPr="00CB720B">
              <w:rPr>
                <w:rFonts w:ascii="Arial" w:hAnsi="Arial" w:cs="Arial"/>
                <w:sz w:val="16"/>
                <w:szCs w:val="16"/>
              </w:rPr>
              <w:t xml:space="preserve">Follow this format for each person.  </w:t>
            </w:r>
            <w:r w:rsidRPr="00CB720B">
              <w:rPr>
                <w:rFonts w:ascii="Arial" w:hAnsi="Arial" w:cs="Arial"/>
                <w:b/>
                <w:sz w:val="16"/>
                <w:szCs w:val="16"/>
              </w:rPr>
              <w:t>DO NOT EXCEED FIVE PAGES.</w:t>
            </w:r>
          </w:p>
        </w:tc>
      </w:tr>
      <w:tr w:rsidR="00CB720B" w14:paraId="3932D4BF" w14:textId="77777777" w:rsidTr="00DC7748">
        <w:tc>
          <w:tcPr>
            <w:tcW w:w="11016" w:type="dxa"/>
            <w:gridSpan w:val="5"/>
            <w:tcBorders>
              <w:top w:val="single" w:sz="4" w:space="0" w:color="auto"/>
              <w:bottom w:val="single" w:sz="4" w:space="0" w:color="auto"/>
            </w:tcBorders>
          </w:tcPr>
          <w:p w14:paraId="49B82A12" w14:textId="77777777" w:rsidR="00CB720B" w:rsidRPr="00CB720B" w:rsidRDefault="00CB720B" w:rsidP="00F47D62">
            <w:pPr>
              <w:spacing w:after="160"/>
              <w:rPr>
                <w:rFonts w:ascii="Arial" w:eastAsia="Times New Roman" w:hAnsi="Arial" w:cs="Times New Roman"/>
                <w:szCs w:val="24"/>
              </w:rPr>
            </w:pPr>
            <w:r w:rsidRPr="00CB720B">
              <w:rPr>
                <w:rFonts w:ascii="Arial" w:eastAsia="Times New Roman" w:hAnsi="Arial" w:cs="Times New Roman"/>
                <w:szCs w:val="24"/>
              </w:rPr>
              <w:t>NAME: Temel, Ryan E</w:t>
            </w:r>
          </w:p>
        </w:tc>
      </w:tr>
      <w:tr w:rsidR="00CB720B" w14:paraId="3DD65CBE" w14:textId="77777777" w:rsidTr="00DC7748">
        <w:tc>
          <w:tcPr>
            <w:tcW w:w="11016" w:type="dxa"/>
            <w:gridSpan w:val="5"/>
            <w:tcBorders>
              <w:top w:val="single" w:sz="4" w:space="0" w:color="auto"/>
              <w:bottom w:val="single" w:sz="4" w:space="0" w:color="auto"/>
            </w:tcBorders>
          </w:tcPr>
          <w:p w14:paraId="6E1885EA" w14:textId="77777777" w:rsidR="00CB720B" w:rsidRPr="00CB720B" w:rsidRDefault="00CB720B" w:rsidP="00CB720B">
            <w:pPr>
              <w:pBdr>
                <w:between w:val="single" w:sz="4" w:space="1" w:color="auto"/>
              </w:pBdr>
              <w:tabs>
                <w:tab w:val="left" w:pos="270"/>
              </w:tabs>
              <w:autoSpaceDE w:val="0"/>
              <w:autoSpaceDN w:val="0"/>
              <w:spacing w:after="160"/>
              <w:rPr>
                <w:rFonts w:ascii="Arial" w:eastAsia="Times New Roman" w:hAnsi="Arial" w:cs="Arial"/>
                <w:sz w:val="32"/>
                <w:szCs w:val="16"/>
              </w:rPr>
            </w:pPr>
            <w:proofErr w:type="spellStart"/>
            <w:r w:rsidRPr="00CB720B">
              <w:rPr>
                <w:rFonts w:ascii="Arial" w:eastAsia="Times New Roman" w:hAnsi="Arial" w:cs="Arial"/>
                <w:szCs w:val="16"/>
              </w:rPr>
              <w:t>eRA</w:t>
            </w:r>
            <w:proofErr w:type="spellEnd"/>
            <w:r w:rsidRPr="00CB720B">
              <w:rPr>
                <w:rFonts w:ascii="Arial" w:eastAsia="Times New Roman" w:hAnsi="Arial" w:cs="Arial"/>
                <w:szCs w:val="16"/>
              </w:rPr>
              <w:t xml:space="preserve"> COMMONS USER NAME (credential, e.g., agency login): </w:t>
            </w:r>
            <w:proofErr w:type="spellStart"/>
            <w:r w:rsidRPr="00CB720B">
              <w:rPr>
                <w:rFonts w:ascii="Arial" w:eastAsia="Times New Roman" w:hAnsi="Arial" w:cs="Arial"/>
                <w:szCs w:val="16"/>
              </w:rPr>
              <w:t>rtemel</w:t>
            </w:r>
            <w:proofErr w:type="spellEnd"/>
          </w:p>
        </w:tc>
      </w:tr>
      <w:tr w:rsidR="00F47D62" w14:paraId="6488F6B4" w14:textId="77777777" w:rsidTr="00DC7748">
        <w:tc>
          <w:tcPr>
            <w:tcW w:w="1998" w:type="dxa"/>
            <w:tcBorders>
              <w:top w:val="single" w:sz="4" w:space="0" w:color="auto"/>
              <w:bottom w:val="single" w:sz="4" w:space="0" w:color="auto"/>
            </w:tcBorders>
          </w:tcPr>
          <w:p w14:paraId="63B0ACE1" w14:textId="77777777" w:rsidR="00F47D62" w:rsidRPr="00CB720B" w:rsidRDefault="00F47D62" w:rsidP="00F47D62">
            <w:pPr>
              <w:autoSpaceDE w:val="0"/>
              <w:autoSpaceDN w:val="0"/>
              <w:rPr>
                <w:rFonts w:ascii="Arial" w:eastAsia="Times New Roman" w:hAnsi="Arial" w:cs="Arial"/>
                <w:szCs w:val="20"/>
              </w:rPr>
            </w:pPr>
            <w:r w:rsidRPr="00CB720B">
              <w:rPr>
                <w:rFonts w:ascii="Arial" w:eastAsia="Times New Roman" w:hAnsi="Arial" w:cs="Arial"/>
                <w:szCs w:val="20"/>
              </w:rPr>
              <w:t xml:space="preserve">POSITION TITLE:  </w:t>
            </w:r>
            <w:r w:rsidRPr="00CB720B">
              <w:rPr>
                <w:rFonts w:ascii="Arial" w:eastAsia="Times New Roman" w:hAnsi="Arial" w:cs="Arial"/>
                <w:szCs w:val="20"/>
              </w:rPr>
              <w:tab/>
            </w:r>
          </w:p>
          <w:p w14:paraId="0BE51500" w14:textId="77777777" w:rsidR="00F47D62" w:rsidRPr="00CB720B" w:rsidRDefault="00F47D62" w:rsidP="00CB720B">
            <w:pPr>
              <w:autoSpaceDE w:val="0"/>
              <w:autoSpaceDN w:val="0"/>
              <w:ind w:left="1800" w:firstLine="360"/>
              <w:rPr>
                <w:rFonts w:ascii="Arial" w:eastAsia="Times New Roman" w:hAnsi="Arial" w:cs="Arial"/>
                <w:szCs w:val="20"/>
              </w:rPr>
            </w:pPr>
          </w:p>
        </w:tc>
        <w:tc>
          <w:tcPr>
            <w:tcW w:w="9018" w:type="dxa"/>
            <w:gridSpan w:val="4"/>
            <w:tcBorders>
              <w:top w:val="single" w:sz="4" w:space="0" w:color="auto"/>
              <w:bottom w:val="single" w:sz="4" w:space="0" w:color="auto"/>
            </w:tcBorders>
          </w:tcPr>
          <w:p w14:paraId="6E634BA2" w14:textId="77777777" w:rsidR="00F47D62" w:rsidRPr="00CB720B" w:rsidRDefault="00A34C4F" w:rsidP="00F47D62">
            <w:pPr>
              <w:autoSpaceDE w:val="0"/>
              <w:autoSpaceDN w:val="0"/>
              <w:rPr>
                <w:rFonts w:ascii="Arial" w:eastAsia="Times New Roman" w:hAnsi="Arial" w:cs="Arial"/>
                <w:szCs w:val="20"/>
              </w:rPr>
            </w:pPr>
            <w:r>
              <w:rPr>
                <w:rFonts w:ascii="Arial" w:eastAsia="Times New Roman" w:hAnsi="Arial" w:cs="Arial"/>
                <w:szCs w:val="20"/>
              </w:rPr>
              <w:t>Associate</w:t>
            </w:r>
            <w:r w:rsidR="00F47D62" w:rsidRPr="00CB720B">
              <w:rPr>
                <w:rFonts w:ascii="Arial" w:eastAsia="Times New Roman" w:hAnsi="Arial" w:cs="Arial"/>
                <w:szCs w:val="20"/>
              </w:rPr>
              <w:t xml:space="preserve"> Professor</w:t>
            </w:r>
          </w:p>
          <w:p w14:paraId="72596D40" w14:textId="77777777" w:rsidR="00F47D62" w:rsidRDefault="00F47D62" w:rsidP="00F47D62">
            <w:pPr>
              <w:autoSpaceDE w:val="0"/>
              <w:autoSpaceDN w:val="0"/>
              <w:rPr>
                <w:rFonts w:ascii="Arial" w:eastAsia="Times New Roman" w:hAnsi="Arial" w:cs="Arial"/>
                <w:szCs w:val="20"/>
              </w:rPr>
            </w:pPr>
            <w:proofErr w:type="spellStart"/>
            <w:r w:rsidRPr="00CB720B">
              <w:rPr>
                <w:rFonts w:ascii="Arial" w:eastAsia="Times New Roman" w:hAnsi="Arial" w:cs="Arial"/>
                <w:szCs w:val="20"/>
              </w:rPr>
              <w:t>Saha</w:t>
            </w:r>
            <w:proofErr w:type="spellEnd"/>
            <w:r w:rsidRPr="00CB720B">
              <w:rPr>
                <w:rFonts w:ascii="Arial" w:eastAsia="Times New Roman" w:hAnsi="Arial" w:cs="Arial"/>
                <w:szCs w:val="20"/>
              </w:rPr>
              <w:t xml:space="preserve"> Cardiovascular Research Center</w:t>
            </w:r>
          </w:p>
          <w:p w14:paraId="6BC12390" w14:textId="02C7A8DB" w:rsidR="00F47D62" w:rsidRPr="00CB720B" w:rsidRDefault="00F47D62" w:rsidP="00F47D62">
            <w:pPr>
              <w:autoSpaceDE w:val="0"/>
              <w:autoSpaceDN w:val="0"/>
              <w:rPr>
                <w:rFonts w:ascii="Arial" w:eastAsia="Times New Roman" w:hAnsi="Arial" w:cs="Arial"/>
                <w:szCs w:val="20"/>
              </w:rPr>
            </w:pPr>
            <w:r w:rsidRPr="00CB720B">
              <w:rPr>
                <w:rFonts w:ascii="Arial" w:eastAsia="Times New Roman" w:hAnsi="Arial" w:cs="Arial"/>
                <w:szCs w:val="20"/>
              </w:rPr>
              <w:t>Department of Ph</w:t>
            </w:r>
            <w:r w:rsidR="00510CAB">
              <w:rPr>
                <w:rFonts w:ascii="Arial" w:eastAsia="Times New Roman" w:hAnsi="Arial" w:cs="Arial"/>
                <w:szCs w:val="20"/>
              </w:rPr>
              <w:t>ysiology</w:t>
            </w:r>
            <w:r w:rsidRPr="00CB720B">
              <w:rPr>
                <w:rFonts w:ascii="Arial" w:eastAsia="Times New Roman" w:hAnsi="Arial" w:cs="Arial"/>
                <w:szCs w:val="20"/>
              </w:rPr>
              <w:t xml:space="preserve"> </w:t>
            </w:r>
          </w:p>
          <w:p w14:paraId="6B7E3A21" w14:textId="77777777" w:rsidR="00F47D62" w:rsidRPr="00F47D62" w:rsidRDefault="00F47D62" w:rsidP="00F47D62">
            <w:pPr>
              <w:autoSpaceDE w:val="0"/>
              <w:autoSpaceDN w:val="0"/>
              <w:spacing w:after="160"/>
              <w:rPr>
                <w:rFonts w:ascii="Arial" w:eastAsia="Times New Roman" w:hAnsi="Arial" w:cs="Arial"/>
                <w:szCs w:val="20"/>
              </w:rPr>
            </w:pPr>
            <w:r w:rsidRPr="00CB720B">
              <w:rPr>
                <w:rFonts w:ascii="Arial" w:eastAsia="Times New Roman" w:hAnsi="Arial" w:cs="Arial"/>
                <w:szCs w:val="20"/>
              </w:rPr>
              <w:t>University of Kentucky</w:t>
            </w:r>
          </w:p>
        </w:tc>
      </w:tr>
      <w:tr w:rsidR="00F47D62" w14:paraId="79906FE5" w14:textId="77777777" w:rsidTr="00DC7748">
        <w:tc>
          <w:tcPr>
            <w:tcW w:w="11016" w:type="dxa"/>
            <w:gridSpan w:val="5"/>
            <w:tcBorders>
              <w:top w:val="single" w:sz="4" w:space="0" w:color="auto"/>
              <w:bottom w:val="single" w:sz="4" w:space="0" w:color="auto"/>
            </w:tcBorders>
          </w:tcPr>
          <w:p w14:paraId="756D34D3" w14:textId="77777777" w:rsidR="00F47D62" w:rsidRPr="00F47D62" w:rsidRDefault="00F47D62" w:rsidP="00F47D62">
            <w:pPr>
              <w:pBdr>
                <w:between w:val="single" w:sz="4" w:space="1" w:color="auto"/>
              </w:pBdr>
              <w:tabs>
                <w:tab w:val="left" w:pos="270"/>
              </w:tabs>
              <w:autoSpaceDE w:val="0"/>
              <w:autoSpaceDN w:val="0"/>
              <w:spacing w:after="160"/>
              <w:rPr>
                <w:rFonts w:ascii="Arial" w:eastAsia="Times New Roman" w:hAnsi="Arial" w:cs="Arial"/>
                <w:szCs w:val="16"/>
              </w:rPr>
            </w:pPr>
            <w:r w:rsidRPr="00F47D62">
              <w:rPr>
                <w:rFonts w:ascii="Arial" w:eastAsia="Times New Roman" w:hAnsi="Arial" w:cs="Arial"/>
                <w:szCs w:val="16"/>
              </w:rPr>
              <w:t xml:space="preserve">EDUCATION/TRAINING </w:t>
            </w:r>
            <w:r w:rsidRPr="00F47D62">
              <w:rPr>
                <w:rFonts w:ascii="Arial" w:eastAsia="Times New Roman" w:hAnsi="Arial" w:cs="Arial"/>
                <w:i/>
                <w:iCs/>
                <w:szCs w:val="16"/>
              </w:rPr>
              <w:t>(Begin with baccalaureate or other initial professional education, such as nursing, include postdoctoral training and residency training if applicable. Add/delete rows as necessary.)</w:t>
            </w:r>
          </w:p>
        </w:tc>
      </w:tr>
      <w:tr w:rsidR="0070646A" w14:paraId="467F3FBA" w14:textId="77777777" w:rsidTr="00DC7748">
        <w:tc>
          <w:tcPr>
            <w:tcW w:w="5371" w:type="dxa"/>
            <w:gridSpan w:val="2"/>
            <w:tcBorders>
              <w:top w:val="single" w:sz="4" w:space="0" w:color="auto"/>
              <w:bottom w:val="single" w:sz="4" w:space="0" w:color="auto"/>
              <w:right w:val="single" w:sz="4" w:space="0" w:color="auto"/>
            </w:tcBorders>
            <w:vAlign w:val="center"/>
          </w:tcPr>
          <w:p w14:paraId="35219E1A" w14:textId="77777777" w:rsidR="00F47D62" w:rsidRPr="00D3779E" w:rsidRDefault="00F47D62" w:rsidP="00353B3B">
            <w:pPr>
              <w:pStyle w:val="FormFieldCaption"/>
              <w:jc w:val="center"/>
              <w:rPr>
                <w:sz w:val="22"/>
              </w:rPr>
            </w:pPr>
            <w:r w:rsidRPr="00D3779E">
              <w:rPr>
                <w:sz w:val="22"/>
              </w:rPr>
              <w:t>INSTITUTION AND LOCATION</w:t>
            </w:r>
          </w:p>
        </w:tc>
        <w:tc>
          <w:tcPr>
            <w:tcW w:w="1440" w:type="dxa"/>
            <w:tcBorders>
              <w:top w:val="single" w:sz="4" w:space="0" w:color="auto"/>
              <w:left w:val="single" w:sz="4" w:space="0" w:color="auto"/>
              <w:bottom w:val="single" w:sz="4" w:space="0" w:color="auto"/>
              <w:right w:val="single" w:sz="4" w:space="0" w:color="auto"/>
            </w:tcBorders>
            <w:vAlign w:val="center"/>
          </w:tcPr>
          <w:p w14:paraId="65BB134D" w14:textId="77777777" w:rsidR="00F47D62" w:rsidRPr="00D3779E" w:rsidRDefault="00F47D62" w:rsidP="00353B3B">
            <w:pPr>
              <w:pStyle w:val="FormFieldCaption"/>
              <w:jc w:val="center"/>
              <w:rPr>
                <w:sz w:val="22"/>
              </w:rPr>
            </w:pPr>
            <w:r w:rsidRPr="00D3779E">
              <w:rPr>
                <w:sz w:val="22"/>
              </w:rPr>
              <w:t>DEGREE</w:t>
            </w:r>
          </w:p>
          <w:p w14:paraId="54E0523B" w14:textId="77777777" w:rsidR="00F47D62" w:rsidRPr="00D3779E" w:rsidRDefault="00F47D62" w:rsidP="00353B3B">
            <w:pPr>
              <w:pStyle w:val="FormFieldCaption"/>
              <w:jc w:val="center"/>
              <w:rPr>
                <w:rStyle w:val="Emphasis"/>
                <w:sz w:val="22"/>
              </w:rPr>
            </w:pPr>
            <w:r w:rsidRPr="00D3779E">
              <w:rPr>
                <w:rStyle w:val="Emphasis"/>
                <w:sz w:val="22"/>
              </w:rPr>
              <w:t>(if applicable)</w:t>
            </w:r>
          </w:p>
          <w:p w14:paraId="3CBF726E" w14:textId="77777777" w:rsidR="00F47D62" w:rsidRPr="00D3779E" w:rsidRDefault="00F47D62" w:rsidP="00353B3B">
            <w:pPr>
              <w:pStyle w:val="FormFieldCaption"/>
              <w:rPr>
                <w:sz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1795CD5D" w14:textId="77777777" w:rsidR="00F47D62" w:rsidRPr="00D3779E" w:rsidRDefault="00F47D62" w:rsidP="00353B3B">
            <w:pPr>
              <w:pStyle w:val="FormFieldCaption"/>
              <w:jc w:val="center"/>
              <w:rPr>
                <w:sz w:val="22"/>
              </w:rPr>
            </w:pPr>
            <w:r w:rsidRPr="00D3779E">
              <w:rPr>
                <w:sz w:val="22"/>
              </w:rPr>
              <w:t>Completion Date</w:t>
            </w:r>
          </w:p>
          <w:p w14:paraId="68F435BC" w14:textId="77777777" w:rsidR="00F47D62" w:rsidRPr="00D3779E" w:rsidRDefault="00F47D62" w:rsidP="00353B3B">
            <w:pPr>
              <w:pStyle w:val="FormFieldCaption"/>
              <w:jc w:val="center"/>
              <w:rPr>
                <w:sz w:val="22"/>
              </w:rPr>
            </w:pPr>
            <w:r w:rsidRPr="00D3779E">
              <w:rPr>
                <w:sz w:val="22"/>
              </w:rPr>
              <w:t>MM/YYYY</w:t>
            </w:r>
          </w:p>
          <w:p w14:paraId="7BBE5C0A" w14:textId="77777777" w:rsidR="00F47D62" w:rsidRPr="00D3779E" w:rsidRDefault="00F47D62" w:rsidP="00353B3B">
            <w:pPr>
              <w:pStyle w:val="FormFieldCaption"/>
              <w:rPr>
                <w:sz w:val="22"/>
              </w:rPr>
            </w:pPr>
          </w:p>
        </w:tc>
        <w:tc>
          <w:tcPr>
            <w:tcW w:w="2765" w:type="dxa"/>
            <w:tcBorders>
              <w:top w:val="single" w:sz="4" w:space="0" w:color="auto"/>
              <w:left w:val="single" w:sz="4" w:space="0" w:color="auto"/>
              <w:bottom w:val="single" w:sz="4" w:space="0" w:color="auto"/>
            </w:tcBorders>
            <w:vAlign w:val="center"/>
          </w:tcPr>
          <w:p w14:paraId="50DDD74E" w14:textId="77777777" w:rsidR="00F47D62" w:rsidRPr="00D3779E" w:rsidRDefault="00F47D62" w:rsidP="00353B3B">
            <w:pPr>
              <w:pStyle w:val="FormFieldCaption"/>
              <w:jc w:val="center"/>
              <w:rPr>
                <w:sz w:val="22"/>
              </w:rPr>
            </w:pPr>
            <w:r w:rsidRPr="00D3779E">
              <w:rPr>
                <w:sz w:val="22"/>
              </w:rPr>
              <w:t>FIELD OF STUDY</w:t>
            </w:r>
          </w:p>
          <w:p w14:paraId="6999A5EC" w14:textId="77777777" w:rsidR="00F47D62" w:rsidRPr="00D3779E" w:rsidRDefault="00F47D62" w:rsidP="00353B3B">
            <w:pPr>
              <w:pStyle w:val="FormFieldCaption"/>
              <w:rPr>
                <w:sz w:val="22"/>
              </w:rPr>
            </w:pPr>
          </w:p>
        </w:tc>
      </w:tr>
      <w:tr w:rsidR="0070646A" w14:paraId="4D393B2F" w14:textId="77777777" w:rsidTr="00DC7748">
        <w:tc>
          <w:tcPr>
            <w:tcW w:w="5371" w:type="dxa"/>
            <w:gridSpan w:val="2"/>
            <w:tcBorders>
              <w:top w:val="single" w:sz="4" w:space="0" w:color="auto"/>
              <w:right w:val="single" w:sz="4" w:space="0" w:color="auto"/>
            </w:tcBorders>
            <w:vAlign w:val="center"/>
          </w:tcPr>
          <w:p w14:paraId="1ABC991D" w14:textId="77777777" w:rsidR="0070646A" w:rsidRDefault="0070646A" w:rsidP="0070646A">
            <w:pPr>
              <w:pStyle w:val="DataField11pt-Single"/>
              <w:spacing w:after="160"/>
            </w:pPr>
            <w:r>
              <w:t>Allegheny College, Meadville, PA</w:t>
            </w:r>
          </w:p>
        </w:tc>
        <w:tc>
          <w:tcPr>
            <w:tcW w:w="1440" w:type="dxa"/>
            <w:tcBorders>
              <w:top w:val="single" w:sz="4" w:space="0" w:color="auto"/>
              <w:left w:val="single" w:sz="4" w:space="0" w:color="auto"/>
              <w:right w:val="single" w:sz="4" w:space="0" w:color="auto"/>
            </w:tcBorders>
            <w:vAlign w:val="center"/>
          </w:tcPr>
          <w:p w14:paraId="504ABF82" w14:textId="77777777" w:rsidR="0070646A" w:rsidRDefault="0070646A" w:rsidP="0070646A">
            <w:pPr>
              <w:pStyle w:val="DataField11pt-Single"/>
              <w:spacing w:after="160"/>
              <w:jc w:val="center"/>
            </w:pPr>
            <w:r>
              <w:t>B.S.</w:t>
            </w:r>
          </w:p>
        </w:tc>
        <w:tc>
          <w:tcPr>
            <w:tcW w:w="1440" w:type="dxa"/>
            <w:tcBorders>
              <w:top w:val="single" w:sz="4" w:space="0" w:color="auto"/>
              <w:left w:val="single" w:sz="4" w:space="0" w:color="auto"/>
              <w:right w:val="single" w:sz="4" w:space="0" w:color="auto"/>
            </w:tcBorders>
            <w:vAlign w:val="center"/>
          </w:tcPr>
          <w:p w14:paraId="5EA1AD20" w14:textId="77777777" w:rsidR="0070646A" w:rsidRDefault="00DC7748" w:rsidP="0070646A">
            <w:pPr>
              <w:pStyle w:val="DataField11pt-Single"/>
              <w:spacing w:after="160"/>
              <w:jc w:val="center"/>
            </w:pPr>
            <w:r>
              <w:t>05/</w:t>
            </w:r>
            <w:r w:rsidR="0070646A">
              <w:t>1995</w:t>
            </w:r>
          </w:p>
        </w:tc>
        <w:tc>
          <w:tcPr>
            <w:tcW w:w="2765" w:type="dxa"/>
            <w:tcBorders>
              <w:top w:val="single" w:sz="4" w:space="0" w:color="auto"/>
              <w:left w:val="single" w:sz="4" w:space="0" w:color="auto"/>
            </w:tcBorders>
            <w:vAlign w:val="center"/>
          </w:tcPr>
          <w:p w14:paraId="7B7B88BA" w14:textId="77777777" w:rsidR="0070646A" w:rsidRDefault="0070646A" w:rsidP="0070646A">
            <w:pPr>
              <w:pStyle w:val="DataField11pt-Single"/>
              <w:spacing w:after="160"/>
            </w:pPr>
            <w:r>
              <w:t>Chemistry</w:t>
            </w:r>
          </w:p>
        </w:tc>
      </w:tr>
      <w:tr w:rsidR="0070646A" w14:paraId="7E31BE65" w14:textId="77777777" w:rsidTr="00DC7748">
        <w:tc>
          <w:tcPr>
            <w:tcW w:w="5371" w:type="dxa"/>
            <w:gridSpan w:val="2"/>
            <w:tcBorders>
              <w:right w:val="single" w:sz="4" w:space="0" w:color="auto"/>
            </w:tcBorders>
          </w:tcPr>
          <w:p w14:paraId="27A05E68" w14:textId="77777777" w:rsidR="0070646A" w:rsidRDefault="0070646A" w:rsidP="0070646A">
            <w:pPr>
              <w:pStyle w:val="DataField11pt-Single"/>
              <w:spacing w:after="160"/>
            </w:pPr>
            <w:r>
              <w:t>SUNY at Stony Brook, Stony Brook, NY</w:t>
            </w:r>
          </w:p>
        </w:tc>
        <w:tc>
          <w:tcPr>
            <w:tcW w:w="1440" w:type="dxa"/>
            <w:tcBorders>
              <w:left w:val="single" w:sz="4" w:space="0" w:color="auto"/>
              <w:right w:val="single" w:sz="4" w:space="0" w:color="auto"/>
            </w:tcBorders>
          </w:tcPr>
          <w:p w14:paraId="4E527793" w14:textId="77777777" w:rsidR="0070646A" w:rsidRDefault="0070646A" w:rsidP="0070646A">
            <w:pPr>
              <w:pStyle w:val="DataField11pt-Single"/>
              <w:spacing w:after="160"/>
              <w:jc w:val="center"/>
            </w:pPr>
            <w:r>
              <w:t>Ph.D.</w:t>
            </w:r>
          </w:p>
        </w:tc>
        <w:tc>
          <w:tcPr>
            <w:tcW w:w="1440" w:type="dxa"/>
            <w:tcBorders>
              <w:left w:val="single" w:sz="4" w:space="0" w:color="auto"/>
              <w:right w:val="single" w:sz="4" w:space="0" w:color="auto"/>
            </w:tcBorders>
          </w:tcPr>
          <w:p w14:paraId="4CC21A4B" w14:textId="77777777" w:rsidR="0070646A" w:rsidRDefault="00DC7748" w:rsidP="0070646A">
            <w:pPr>
              <w:pStyle w:val="DataField11pt-Single"/>
              <w:spacing w:after="160"/>
              <w:jc w:val="center"/>
            </w:pPr>
            <w:r>
              <w:t>08/</w:t>
            </w:r>
            <w:r w:rsidR="0070646A">
              <w:t>2001</w:t>
            </w:r>
          </w:p>
        </w:tc>
        <w:tc>
          <w:tcPr>
            <w:tcW w:w="2765" w:type="dxa"/>
            <w:tcBorders>
              <w:left w:val="single" w:sz="4" w:space="0" w:color="auto"/>
            </w:tcBorders>
            <w:vAlign w:val="center"/>
          </w:tcPr>
          <w:p w14:paraId="4D778B8F" w14:textId="77777777" w:rsidR="0070646A" w:rsidRDefault="0070646A" w:rsidP="0070646A">
            <w:pPr>
              <w:pStyle w:val="DataField11pt-Single"/>
              <w:spacing w:after="160"/>
            </w:pPr>
            <w:r>
              <w:t>Biochemistry &amp; Molecular Biology</w:t>
            </w:r>
          </w:p>
        </w:tc>
      </w:tr>
      <w:tr w:rsidR="0070646A" w14:paraId="0094B0E7" w14:textId="77777777" w:rsidTr="00DC7748">
        <w:tc>
          <w:tcPr>
            <w:tcW w:w="5371" w:type="dxa"/>
            <w:gridSpan w:val="2"/>
            <w:tcBorders>
              <w:bottom w:val="single" w:sz="4" w:space="0" w:color="auto"/>
              <w:right w:val="single" w:sz="4" w:space="0" w:color="auto"/>
            </w:tcBorders>
            <w:vAlign w:val="center"/>
          </w:tcPr>
          <w:p w14:paraId="5562138A" w14:textId="77777777" w:rsidR="0070646A" w:rsidRDefault="0070646A" w:rsidP="0070646A">
            <w:pPr>
              <w:pStyle w:val="DataField11pt-Single"/>
              <w:spacing w:after="160"/>
            </w:pPr>
            <w:r>
              <w:t>Wake Forest University School of Medicine, Winston-Salem, NC</w:t>
            </w:r>
          </w:p>
        </w:tc>
        <w:tc>
          <w:tcPr>
            <w:tcW w:w="1440" w:type="dxa"/>
            <w:tcBorders>
              <w:left w:val="single" w:sz="4" w:space="0" w:color="auto"/>
              <w:bottom w:val="single" w:sz="4" w:space="0" w:color="auto"/>
              <w:right w:val="single" w:sz="4" w:space="0" w:color="auto"/>
            </w:tcBorders>
          </w:tcPr>
          <w:p w14:paraId="2E946FDF" w14:textId="77777777" w:rsidR="0070646A" w:rsidRDefault="0070646A" w:rsidP="0070646A">
            <w:pPr>
              <w:pStyle w:val="DataField11pt-Single"/>
              <w:spacing w:after="160"/>
              <w:jc w:val="center"/>
            </w:pPr>
            <w:r>
              <w:t>Postdoc</w:t>
            </w:r>
          </w:p>
        </w:tc>
        <w:tc>
          <w:tcPr>
            <w:tcW w:w="1440" w:type="dxa"/>
            <w:tcBorders>
              <w:left w:val="single" w:sz="4" w:space="0" w:color="auto"/>
              <w:bottom w:val="single" w:sz="4" w:space="0" w:color="auto"/>
              <w:right w:val="single" w:sz="4" w:space="0" w:color="auto"/>
            </w:tcBorders>
          </w:tcPr>
          <w:p w14:paraId="0F949695" w14:textId="77777777" w:rsidR="0070646A" w:rsidRDefault="00DC7748" w:rsidP="0070646A">
            <w:pPr>
              <w:pStyle w:val="DataField11pt-Single"/>
              <w:spacing w:after="160"/>
              <w:jc w:val="center"/>
            </w:pPr>
            <w:r>
              <w:t>07/</w:t>
            </w:r>
            <w:r w:rsidR="0070646A">
              <w:t>2006</w:t>
            </w:r>
          </w:p>
        </w:tc>
        <w:tc>
          <w:tcPr>
            <w:tcW w:w="2765" w:type="dxa"/>
            <w:tcBorders>
              <w:left w:val="single" w:sz="4" w:space="0" w:color="auto"/>
              <w:bottom w:val="single" w:sz="4" w:space="0" w:color="auto"/>
            </w:tcBorders>
          </w:tcPr>
          <w:p w14:paraId="52617A11" w14:textId="77777777" w:rsidR="0070646A" w:rsidRDefault="0070646A" w:rsidP="0070646A">
            <w:pPr>
              <w:pStyle w:val="DataField11pt-Single"/>
              <w:spacing w:after="160"/>
            </w:pPr>
            <w:r>
              <w:t>Pathology/Lipid Sciences</w:t>
            </w:r>
          </w:p>
        </w:tc>
      </w:tr>
    </w:tbl>
    <w:p w14:paraId="63532F69" w14:textId="77777777" w:rsidR="00353B3B" w:rsidRDefault="00353B3B" w:rsidP="000C15FE">
      <w:pPr>
        <w:spacing w:after="0"/>
      </w:pPr>
    </w:p>
    <w:p w14:paraId="256A78D0" w14:textId="459D0788" w:rsidR="000C2A3C" w:rsidRPr="000C2A3C" w:rsidRDefault="000C15FE" w:rsidP="000C2A3C">
      <w:pPr>
        <w:numPr>
          <w:ilvl w:val="0"/>
          <w:numId w:val="1"/>
        </w:numPr>
        <w:spacing w:after="0" w:line="280" w:lineRule="atLeast"/>
        <w:contextualSpacing/>
        <w:rPr>
          <w:rFonts w:ascii="Arial" w:eastAsia="Calibri" w:hAnsi="Arial" w:cs="Arial"/>
          <w:iCs/>
        </w:rPr>
      </w:pPr>
      <w:r w:rsidRPr="000C15FE">
        <w:rPr>
          <w:rFonts w:ascii="Arial" w:eastAsia="Calibri" w:hAnsi="Arial" w:cs="Arial"/>
          <w:b/>
          <w:iCs/>
        </w:rPr>
        <w:t>Personal Statement</w:t>
      </w:r>
    </w:p>
    <w:tbl>
      <w:tblPr>
        <w:tblStyle w:val="TableGrid"/>
        <w:tblW w:w="0" w:type="auto"/>
        <w:tblLook w:val="04A0" w:firstRow="1" w:lastRow="0" w:firstColumn="1" w:lastColumn="0" w:noHBand="0" w:noVBand="1"/>
      </w:tblPr>
      <w:tblGrid>
        <w:gridCol w:w="2166"/>
        <w:gridCol w:w="2170"/>
        <w:gridCol w:w="2161"/>
        <w:gridCol w:w="2085"/>
        <w:gridCol w:w="64"/>
        <w:gridCol w:w="2154"/>
      </w:tblGrid>
      <w:tr w:rsidR="00786B26" w14:paraId="0C3C0D80" w14:textId="77777777" w:rsidTr="00510CAB">
        <w:tc>
          <w:tcPr>
            <w:tcW w:w="10800" w:type="dxa"/>
            <w:gridSpan w:val="6"/>
            <w:tcBorders>
              <w:top w:val="nil"/>
              <w:left w:val="nil"/>
              <w:bottom w:val="nil"/>
              <w:right w:val="nil"/>
            </w:tcBorders>
          </w:tcPr>
          <w:p w14:paraId="682FD34C" w14:textId="190D988B" w:rsidR="00EC2B43" w:rsidRDefault="00B021E5" w:rsidP="007A3390">
            <w:pPr>
              <w:spacing w:line="280" w:lineRule="atLeast"/>
              <w:ind w:left="-112"/>
              <w:jc w:val="both"/>
              <w:rPr>
                <w:rFonts w:ascii="Arial" w:hAnsi="Arial"/>
              </w:rPr>
            </w:pPr>
            <w:r w:rsidRPr="00B021E5">
              <w:rPr>
                <w:rFonts w:ascii="Arial" w:hAnsi="Arial"/>
              </w:rPr>
              <w:t>I have been studying cholesterol and lipoprotein metabolism, atherosclerosis, and cardiovascular disease (CVD) for over 20 years.</w:t>
            </w:r>
            <w:r w:rsidR="00EC2B43">
              <w:rPr>
                <w:rFonts w:ascii="Arial" w:hAnsi="Arial"/>
              </w:rPr>
              <w:t xml:space="preserve">  My lab is determining</w:t>
            </w:r>
            <w:r w:rsidR="00EC2B43" w:rsidRPr="00C01045">
              <w:rPr>
                <w:rFonts w:ascii="Arial" w:hAnsi="Arial"/>
              </w:rPr>
              <w:t xml:space="preserve"> the effects of biliary cholesterol secretion on hepatic lipid and lipoprotein metabolism and atherosclerosis development. Using LDL receptor deficient mice with liver specific knockdown of ABCG8 and/or hepatic NPC1L1 overexpression, we have found that dramatic reductions in biliary cholesterol are associated with significantly decreased atherosclerosis development.  This exciting and unanticipated result is counter to the concept that biliary cholesterol secretion is necessary for the anti-atherosclerotic effects of RCT.</w:t>
            </w:r>
            <w:r w:rsidR="00EC2B43">
              <w:rPr>
                <w:rFonts w:ascii="Arial" w:hAnsi="Arial"/>
              </w:rPr>
              <w:t xml:space="preserve">  In addition to mice,</w:t>
            </w:r>
            <w:r w:rsidR="007A3390">
              <w:rPr>
                <w:rFonts w:ascii="Arial" w:hAnsi="Arial"/>
              </w:rPr>
              <w:t xml:space="preserve"> nonhuman primates (NHPs) have been used for</w:t>
            </w:r>
            <w:r w:rsidR="008B6756" w:rsidRPr="008B6756">
              <w:rPr>
                <w:rFonts w:ascii="Arial" w:hAnsi="Arial"/>
              </w:rPr>
              <w:t xml:space="preserve"> much of our res</w:t>
            </w:r>
            <w:r w:rsidR="007A3390">
              <w:rPr>
                <w:rFonts w:ascii="Arial" w:hAnsi="Arial"/>
              </w:rPr>
              <w:t>earch over the last decade</w:t>
            </w:r>
            <w:r w:rsidR="008B6756" w:rsidRPr="008B6756">
              <w:rPr>
                <w:rFonts w:ascii="Arial" w:hAnsi="Arial"/>
              </w:rPr>
              <w:t xml:space="preserve">.  To discover new mechanisms and therapeutics that alter lipid metabolism and reduce the risk of coronary heart disease (CHD), we have treated monkeys with statins, nuclear receptors agonists, antisense oligonucleotides, and </w:t>
            </w:r>
            <w:proofErr w:type="spellStart"/>
            <w:r w:rsidR="008B6756" w:rsidRPr="008B6756">
              <w:rPr>
                <w:rFonts w:ascii="Arial" w:hAnsi="Arial"/>
              </w:rPr>
              <w:t>nanotherapeutics</w:t>
            </w:r>
            <w:proofErr w:type="spellEnd"/>
            <w:r w:rsidR="008B6756" w:rsidRPr="008B6756">
              <w:rPr>
                <w:rFonts w:ascii="Arial" w:hAnsi="Arial"/>
              </w:rPr>
              <w:t>.  We are currently conducting a study to determine whether antagonism of miR-33a/b in NHPs will regress</w:t>
            </w:r>
            <w:r w:rsidR="007A3390">
              <w:rPr>
                <w:rFonts w:ascii="Arial" w:hAnsi="Arial"/>
              </w:rPr>
              <w:t>/stabilize</w:t>
            </w:r>
            <w:r w:rsidR="008B6756" w:rsidRPr="008B6756">
              <w:rPr>
                <w:rFonts w:ascii="Arial" w:hAnsi="Arial"/>
              </w:rPr>
              <w:t xml:space="preserve"> atherosclerosis in both the cardio- and </w:t>
            </w:r>
            <w:proofErr w:type="spellStart"/>
            <w:r w:rsidR="008B6756" w:rsidRPr="008B6756">
              <w:rPr>
                <w:rFonts w:ascii="Arial" w:hAnsi="Arial"/>
              </w:rPr>
              <w:t>cerebro</w:t>
            </w:r>
            <w:proofErr w:type="spellEnd"/>
            <w:r w:rsidR="008B6756" w:rsidRPr="008B6756">
              <w:rPr>
                <w:rFonts w:ascii="Arial" w:hAnsi="Arial"/>
              </w:rPr>
              <w:t>-vasculature.  In addition, we have recently started a project to identify anti-</w:t>
            </w:r>
            <w:proofErr w:type="spellStart"/>
            <w:r w:rsidR="008B6756" w:rsidRPr="008B6756">
              <w:rPr>
                <w:rFonts w:ascii="Arial" w:hAnsi="Arial"/>
              </w:rPr>
              <w:t>miR</w:t>
            </w:r>
            <w:proofErr w:type="spellEnd"/>
            <w:r w:rsidR="008B6756" w:rsidRPr="008B6756">
              <w:rPr>
                <w:rFonts w:ascii="Arial" w:hAnsi="Arial"/>
              </w:rPr>
              <w:t xml:space="preserve"> compounds for effective and safe inhibition of miR-128-1 and miR-22 and assess their therapeutic potential to treat non-alcoholic </w:t>
            </w:r>
            <w:proofErr w:type="spellStart"/>
            <w:r w:rsidR="008B6756" w:rsidRPr="008B6756">
              <w:rPr>
                <w:rFonts w:ascii="Arial" w:hAnsi="Arial"/>
              </w:rPr>
              <w:t>steatohepatitis</w:t>
            </w:r>
            <w:proofErr w:type="spellEnd"/>
            <w:r w:rsidR="008B6756" w:rsidRPr="008B6756">
              <w:rPr>
                <w:rFonts w:ascii="Arial" w:hAnsi="Arial"/>
              </w:rPr>
              <w:t xml:space="preserve"> (NA</w:t>
            </w:r>
            <w:r w:rsidR="007A3390">
              <w:rPr>
                <w:rFonts w:ascii="Arial" w:hAnsi="Arial"/>
              </w:rPr>
              <w:t>SH) in highly relevant</w:t>
            </w:r>
            <w:r w:rsidR="008B6756" w:rsidRPr="008B6756">
              <w:rPr>
                <w:rFonts w:ascii="Arial" w:hAnsi="Arial"/>
              </w:rPr>
              <w:t xml:space="preserve"> NHP models. </w:t>
            </w:r>
            <w:r w:rsidR="00EC2B43">
              <w:rPr>
                <w:rFonts w:ascii="Arial" w:hAnsi="Arial"/>
              </w:rPr>
              <w:t xml:space="preserve"> </w:t>
            </w:r>
            <w:r w:rsidR="00EC2B43">
              <w:rPr>
                <w:rFonts w:ascii="Arial" w:hAnsi="Arial"/>
              </w:rPr>
              <w:t xml:space="preserve"> </w:t>
            </w:r>
          </w:p>
          <w:p w14:paraId="4B1139A6" w14:textId="77777777" w:rsidR="00B021E5" w:rsidRPr="00C01045" w:rsidRDefault="00B021E5" w:rsidP="00F728D0">
            <w:pPr>
              <w:spacing w:line="280" w:lineRule="atLeast"/>
              <w:ind w:left="-104"/>
              <w:jc w:val="both"/>
              <w:rPr>
                <w:rFonts w:ascii="Arial" w:hAnsi="Arial"/>
              </w:rPr>
            </w:pPr>
          </w:p>
          <w:p w14:paraId="25D8E0FD" w14:textId="77777777" w:rsidR="00786B26" w:rsidRPr="00786B26" w:rsidRDefault="00786B26" w:rsidP="00F728D0">
            <w:pPr>
              <w:pStyle w:val="ListParagraph"/>
              <w:numPr>
                <w:ilvl w:val="0"/>
                <w:numId w:val="1"/>
              </w:numPr>
              <w:spacing w:after="120"/>
              <w:ind w:left="-104"/>
              <w:rPr>
                <w:rFonts w:ascii="Arial" w:hAnsi="Arial"/>
                <w:b/>
                <w:sz w:val="22"/>
                <w:szCs w:val="22"/>
              </w:rPr>
            </w:pPr>
            <w:r w:rsidRPr="00786B26">
              <w:rPr>
                <w:rFonts w:ascii="Arial" w:hAnsi="Arial"/>
                <w:b/>
                <w:sz w:val="22"/>
                <w:szCs w:val="22"/>
              </w:rPr>
              <w:t>Positions and Honors</w:t>
            </w:r>
          </w:p>
        </w:tc>
      </w:tr>
      <w:tr w:rsidR="000C15FE" w14:paraId="54008519" w14:textId="77777777" w:rsidTr="00510CAB">
        <w:tc>
          <w:tcPr>
            <w:tcW w:w="10800" w:type="dxa"/>
            <w:gridSpan w:val="6"/>
            <w:tcBorders>
              <w:top w:val="nil"/>
              <w:left w:val="nil"/>
              <w:bottom w:val="nil"/>
              <w:right w:val="nil"/>
            </w:tcBorders>
          </w:tcPr>
          <w:p w14:paraId="76DE94D4" w14:textId="77777777" w:rsidR="000C15FE" w:rsidRDefault="000C15FE" w:rsidP="00786B26">
            <w:pPr>
              <w:spacing w:after="80"/>
            </w:pPr>
            <w:r w:rsidRPr="000C15FE">
              <w:rPr>
                <w:rFonts w:ascii="Arial" w:eastAsia="Calibri" w:hAnsi="Arial" w:cs="Arial"/>
                <w:u w:val="single"/>
              </w:rPr>
              <w:t>Professional Appointments</w:t>
            </w:r>
          </w:p>
        </w:tc>
      </w:tr>
      <w:tr w:rsidR="000C15FE" w14:paraId="69266E8A" w14:textId="77777777" w:rsidTr="00510CAB">
        <w:trPr>
          <w:trHeight w:val="275"/>
        </w:trPr>
        <w:tc>
          <w:tcPr>
            <w:tcW w:w="2166" w:type="dxa"/>
            <w:tcBorders>
              <w:top w:val="nil"/>
              <w:left w:val="nil"/>
              <w:bottom w:val="nil"/>
              <w:right w:val="nil"/>
            </w:tcBorders>
          </w:tcPr>
          <w:p w14:paraId="32FEE221" w14:textId="77777777" w:rsidR="000C15FE" w:rsidRPr="00024FC5" w:rsidRDefault="000C15FE" w:rsidP="00AE36EC">
            <w:pPr>
              <w:pStyle w:val="DataField11pt-Single"/>
              <w:spacing w:after="80" w:line="280" w:lineRule="atLeast"/>
              <w:rPr>
                <w:szCs w:val="22"/>
              </w:rPr>
            </w:pPr>
            <w:r w:rsidRPr="00024FC5">
              <w:rPr>
                <w:szCs w:val="22"/>
              </w:rPr>
              <w:t>2006-2008</w:t>
            </w:r>
          </w:p>
        </w:tc>
        <w:tc>
          <w:tcPr>
            <w:tcW w:w="8634" w:type="dxa"/>
            <w:gridSpan w:val="5"/>
            <w:tcBorders>
              <w:top w:val="nil"/>
              <w:left w:val="nil"/>
              <w:bottom w:val="nil"/>
              <w:right w:val="nil"/>
            </w:tcBorders>
          </w:tcPr>
          <w:p w14:paraId="7735E1DA" w14:textId="77777777" w:rsidR="000C15FE" w:rsidRPr="00024FC5" w:rsidRDefault="000C15FE" w:rsidP="00AE36EC">
            <w:pPr>
              <w:pStyle w:val="DataField11pt-Single"/>
              <w:spacing w:after="80" w:line="280" w:lineRule="atLeast"/>
              <w:rPr>
                <w:szCs w:val="22"/>
              </w:rPr>
            </w:pPr>
            <w:r w:rsidRPr="00024FC5">
              <w:rPr>
                <w:szCs w:val="22"/>
              </w:rPr>
              <w:t xml:space="preserve">Instructor, Department of Pathology, </w:t>
            </w:r>
            <w:r>
              <w:rPr>
                <w:szCs w:val="22"/>
              </w:rPr>
              <w:t>Section on Lipid Sciences</w:t>
            </w:r>
            <w:r w:rsidRPr="00024FC5">
              <w:rPr>
                <w:szCs w:val="22"/>
              </w:rPr>
              <w:t>, Wake Forest University School of Medicine, Winston-Salem, NC</w:t>
            </w:r>
          </w:p>
        </w:tc>
      </w:tr>
      <w:tr w:rsidR="000C15FE" w14:paraId="3647101D" w14:textId="77777777" w:rsidTr="00510CAB">
        <w:trPr>
          <w:trHeight w:val="275"/>
        </w:trPr>
        <w:tc>
          <w:tcPr>
            <w:tcW w:w="2166" w:type="dxa"/>
            <w:tcBorders>
              <w:top w:val="nil"/>
              <w:left w:val="nil"/>
              <w:bottom w:val="nil"/>
              <w:right w:val="nil"/>
            </w:tcBorders>
          </w:tcPr>
          <w:p w14:paraId="026B9833" w14:textId="77777777" w:rsidR="000C15FE" w:rsidRPr="00024FC5" w:rsidRDefault="000C15FE" w:rsidP="00AE36EC">
            <w:pPr>
              <w:pStyle w:val="DataField11pt-Single"/>
              <w:spacing w:after="80" w:line="280" w:lineRule="atLeast"/>
              <w:rPr>
                <w:szCs w:val="22"/>
              </w:rPr>
            </w:pPr>
            <w:r w:rsidRPr="00024FC5">
              <w:rPr>
                <w:szCs w:val="22"/>
              </w:rPr>
              <w:t>2008-2013</w:t>
            </w:r>
          </w:p>
        </w:tc>
        <w:tc>
          <w:tcPr>
            <w:tcW w:w="8634" w:type="dxa"/>
            <w:gridSpan w:val="5"/>
            <w:tcBorders>
              <w:top w:val="nil"/>
              <w:left w:val="nil"/>
              <w:bottom w:val="nil"/>
              <w:right w:val="nil"/>
            </w:tcBorders>
          </w:tcPr>
          <w:p w14:paraId="74BA9DDD" w14:textId="77777777" w:rsidR="000C15FE" w:rsidRPr="00024FC5" w:rsidRDefault="000C15FE" w:rsidP="00AE36EC">
            <w:pPr>
              <w:pStyle w:val="DataField11pt-Single"/>
              <w:spacing w:after="80" w:line="280" w:lineRule="atLeast"/>
              <w:rPr>
                <w:szCs w:val="22"/>
              </w:rPr>
            </w:pPr>
            <w:r w:rsidRPr="00024FC5">
              <w:rPr>
                <w:szCs w:val="22"/>
              </w:rPr>
              <w:t xml:space="preserve">Assistant Professor, Department of Pathology, </w:t>
            </w:r>
            <w:r>
              <w:rPr>
                <w:szCs w:val="22"/>
              </w:rPr>
              <w:t>Section on Lipid Sciences</w:t>
            </w:r>
            <w:r w:rsidRPr="00024FC5">
              <w:rPr>
                <w:szCs w:val="22"/>
              </w:rPr>
              <w:t>, Wake Forest University School of Medicine, Winston-Salem, NC</w:t>
            </w:r>
          </w:p>
        </w:tc>
      </w:tr>
      <w:tr w:rsidR="000C15FE" w14:paraId="1DE0E637" w14:textId="77777777" w:rsidTr="00510CAB">
        <w:trPr>
          <w:trHeight w:val="275"/>
        </w:trPr>
        <w:tc>
          <w:tcPr>
            <w:tcW w:w="2166" w:type="dxa"/>
            <w:tcBorders>
              <w:top w:val="nil"/>
              <w:left w:val="nil"/>
              <w:bottom w:val="nil"/>
              <w:right w:val="nil"/>
            </w:tcBorders>
          </w:tcPr>
          <w:p w14:paraId="5F41F76F" w14:textId="77777777" w:rsidR="000C15FE" w:rsidRPr="00024FC5" w:rsidRDefault="00A34C4F" w:rsidP="00AE36EC">
            <w:pPr>
              <w:pStyle w:val="DataField11pt-Single"/>
              <w:spacing w:after="80" w:line="280" w:lineRule="atLeast"/>
              <w:rPr>
                <w:szCs w:val="22"/>
              </w:rPr>
            </w:pPr>
            <w:r>
              <w:rPr>
                <w:szCs w:val="22"/>
              </w:rPr>
              <w:t>2013-2015</w:t>
            </w:r>
          </w:p>
        </w:tc>
        <w:tc>
          <w:tcPr>
            <w:tcW w:w="8634" w:type="dxa"/>
            <w:gridSpan w:val="5"/>
            <w:tcBorders>
              <w:top w:val="nil"/>
              <w:left w:val="nil"/>
              <w:bottom w:val="nil"/>
              <w:right w:val="nil"/>
            </w:tcBorders>
          </w:tcPr>
          <w:p w14:paraId="00BE416F" w14:textId="77777777" w:rsidR="00A34C4F" w:rsidRPr="00024FC5" w:rsidRDefault="000C15FE" w:rsidP="00AE36EC">
            <w:pPr>
              <w:pStyle w:val="DataField11pt-Single"/>
              <w:spacing w:after="80" w:line="280" w:lineRule="atLeast"/>
              <w:rPr>
                <w:szCs w:val="22"/>
              </w:rPr>
            </w:pPr>
            <w:r w:rsidRPr="00024FC5">
              <w:rPr>
                <w:szCs w:val="22"/>
              </w:rPr>
              <w:t xml:space="preserve">Assistant Professor, </w:t>
            </w:r>
            <w:proofErr w:type="spellStart"/>
            <w:r w:rsidRPr="00024FC5">
              <w:rPr>
                <w:szCs w:val="22"/>
              </w:rPr>
              <w:t>Saha</w:t>
            </w:r>
            <w:proofErr w:type="spellEnd"/>
            <w:r w:rsidRPr="00024FC5">
              <w:rPr>
                <w:szCs w:val="22"/>
              </w:rPr>
              <w:t xml:space="preserve"> </w:t>
            </w:r>
            <w:r w:rsidR="00AE36EC">
              <w:rPr>
                <w:szCs w:val="22"/>
              </w:rPr>
              <w:t>Cardiovascular Research Center, Department</w:t>
            </w:r>
            <w:r w:rsidRPr="00024FC5">
              <w:rPr>
                <w:szCs w:val="22"/>
              </w:rPr>
              <w:t xml:space="preserve"> of Pharmacology and Nutritional Sciences, University of Kentucky, Lexington, KY</w:t>
            </w:r>
          </w:p>
        </w:tc>
      </w:tr>
      <w:tr w:rsidR="00510CAB" w14:paraId="3BDDBBBA" w14:textId="77777777" w:rsidTr="00510CAB">
        <w:trPr>
          <w:trHeight w:val="275"/>
        </w:trPr>
        <w:tc>
          <w:tcPr>
            <w:tcW w:w="2166" w:type="dxa"/>
            <w:tcBorders>
              <w:top w:val="nil"/>
              <w:left w:val="nil"/>
              <w:bottom w:val="nil"/>
              <w:right w:val="nil"/>
            </w:tcBorders>
          </w:tcPr>
          <w:p w14:paraId="57EC89DF" w14:textId="48D78B4F" w:rsidR="00510CAB" w:rsidRPr="00024FC5" w:rsidRDefault="00510CAB" w:rsidP="00510CAB">
            <w:pPr>
              <w:pStyle w:val="DataField11pt-Single"/>
              <w:spacing w:after="80" w:line="280" w:lineRule="atLeast"/>
              <w:rPr>
                <w:szCs w:val="22"/>
              </w:rPr>
            </w:pPr>
            <w:r>
              <w:rPr>
                <w:szCs w:val="22"/>
              </w:rPr>
              <w:lastRenderedPageBreak/>
              <w:t xml:space="preserve">2015-2018 </w:t>
            </w:r>
          </w:p>
        </w:tc>
        <w:tc>
          <w:tcPr>
            <w:tcW w:w="8634" w:type="dxa"/>
            <w:gridSpan w:val="5"/>
            <w:tcBorders>
              <w:top w:val="nil"/>
              <w:left w:val="nil"/>
              <w:bottom w:val="nil"/>
              <w:right w:val="nil"/>
            </w:tcBorders>
          </w:tcPr>
          <w:p w14:paraId="287216B4" w14:textId="1E079C1C" w:rsidR="00510CAB" w:rsidRPr="00024FC5" w:rsidRDefault="00510CAB" w:rsidP="00510CAB">
            <w:pPr>
              <w:pStyle w:val="DataField11pt-Single"/>
              <w:spacing w:after="80" w:line="280" w:lineRule="atLeast"/>
              <w:rPr>
                <w:szCs w:val="22"/>
              </w:rPr>
            </w:pPr>
            <w:r>
              <w:rPr>
                <w:szCs w:val="22"/>
              </w:rPr>
              <w:t>Associate</w:t>
            </w:r>
            <w:r w:rsidRPr="00024FC5">
              <w:rPr>
                <w:szCs w:val="22"/>
              </w:rPr>
              <w:t xml:space="preserve"> Professor, </w:t>
            </w:r>
            <w:proofErr w:type="spellStart"/>
            <w:r w:rsidRPr="00024FC5">
              <w:rPr>
                <w:szCs w:val="22"/>
              </w:rPr>
              <w:t>Saha</w:t>
            </w:r>
            <w:proofErr w:type="spellEnd"/>
            <w:r w:rsidRPr="00024FC5">
              <w:rPr>
                <w:szCs w:val="22"/>
              </w:rPr>
              <w:t xml:space="preserve"> </w:t>
            </w:r>
            <w:r>
              <w:rPr>
                <w:szCs w:val="22"/>
              </w:rPr>
              <w:t>Cardiovascular Research Center, Department</w:t>
            </w:r>
            <w:r w:rsidRPr="00024FC5">
              <w:rPr>
                <w:szCs w:val="22"/>
              </w:rPr>
              <w:t xml:space="preserve"> of Pharmacology and Nutritional Sciences, University of Kentucky, Lexington, KY</w:t>
            </w:r>
          </w:p>
        </w:tc>
      </w:tr>
      <w:tr w:rsidR="00510CAB" w14:paraId="066AF743" w14:textId="77777777" w:rsidTr="00510CAB">
        <w:trPr>
          <w:trHeight w:val="275"/>
        </w:trPr>
        <w:tc>
          <w:tcPr>
            <w:tcW w:w="2166" w:type="dxa"/>
            <w:tcBorders>
              <w:top w:val="nil"/>
              <w:left w:val="nil"/>
              <w:bottom w:val="nil"/>
              <w:right w:val="nil"/>
            </w:tcBorders>
          </w:tcPr>
          <w:p w14:paraId="2A101F33" w14:textId="18718FCD" w:rsidR="00510CAB" w:rsidRDefault="00510CAB" w:rsidP="00510CAB">
            <w:pPr>
              <w:pStyle w:val="DataField11pt-Single"/>
              <w:spacing w:after="80" w:line="280" w:lineRule="atLeast"/>
              <w:rPr>
                <w:szCs w:val="22"/>
              </w:rPr>
            </w:pPr>
            <w:r>
              <w:rPr>
                <w:szCs w:val="22"/>
              </w:rPr>
              <w:t>2018-Present</w:t>
            </w:r>
          </w:p>
        </w:tc>
        <w:tc>
          <w:tcPr>
            <w:tcW w:w="8634" w:type="dxa"/>
            <w:gridSpan w:val="5"/>
            <w:tcBorders>
              <w:top w:val="nil"/>
              <w:left w:val="nil"/>
              <w:bottom w:val="nil"/>
              <w:right w:val="nil"/>
            </w:tcBorders>
          </w:tcPr>
          <w:p w14:paraId="4789A425" w14:textId="66638254" w:rsidR="00510CAB" w:rsidRDefault="00510CAB" w:rsidP="00510CAB">
            <w:pPr>
              <w:pStyle w:val="DataField11pt-Single"/>
              <w:spacing w:after="80" w:line="280" w:lineRule="atLeast"/>
              <w:rPr>
                <w:szCs w:val="22"/>
              </w:rPr>
            </w:pPr>
            <w:r>
              <w:rPr>
                <w:szCs w:val="22"/>
              </w:rPr>
              <w:t>Associate</w:t>
            </w:r>
            <w:r w:rsidRPr="00024FC5">
              <w:rPr>
                <w:szCs w:val="22"/>
              </w:rPr>
              <w:t xml:space="preserve"> Professor, </w:t>
            </w:r>
            <w:proofErr w:type="spellStart"/>
            <w:r w:rsidRPr="00024FC5">
              <w:rPr>
                <w:szCs w:val="22"/>
              </w:rPr>
              <w:t>Saha</w:t>
            </w:r>
            <w:proofErr w:type="spellEnd"/>
            <w:r w:rsidRPr="00024FC5">
              <w:rPr>
                <w:szCs w:val="22"/>
              </w:rPr>
              <w:t xml:space="preserve"> </w:t>
            </w:r>
            <w:r>
              <w:rPr>
                <w:szCs w:val="22"/>
              </w:rPr>
              <w:t>Cardiovascular Research Center, Department</w:t>
            </w:r>
            <w:r w:rsidRPr="00024FC5">
              <w:rPr>
                <w:szCs w:val="22"/>
              </w:rPr>
              <w:t xml:space="preserve"> of Ph</w:t>
            </w:r>
            <w:r>
              <w:rPr>
                <w:szCs w:val="22"/>
              </w:rPr>
              <w:t>ysiology</w:t>
            </w:r>
            <w:r w:rsidRPr="00024FC5">
              <w:rPr>
                <w:szCs w:val="22"/>
              </w:rPr>
              <w:t>, University of Kentucky, Lexington, KY</w:t>
            </w:r>
          </w:p>
        </w:tc>
      </w:tr>
      <w:tr w:rsidR="00510CAB" w14:paraId="79DFFAAD" w14:textId="77777777" w:rsidTr="00510CAB">
        <w:tc>
          <w:tcPr>
            <w:tcW w:w="2166" w:type="dxa"/>
            <w:tcBorders>
              <w:top w:val="nil"/>
              <w:left w:val="nil"/>
              <w:bottom w:val="nil"/>
              <w:right w:val="nil"/>
            </w:tcBorders>
          </w:tcPr>
          <w:p w14:paraId="44779B39" w14:textId="77777777" w:rsidR="00510CAB" w:rsidRDefault="00510CAB" w:rsidP="00510CAB"/>
        </w:tc>
        <w:tc>
          <w:tcPr>
            <w:tcW w:w="2170" w:type="dxa"/>
            <w:tcBorders>
              <w:top w:val="nil"/>
              <w:left w:val="nil"/>
              <w:bottom w:val="nil"/>
              <w:right w:val="nil"/>
            </w:tcBorders>
          </w:tcPr>
          <w:p w14:paraId="3B8AAC94" w14:textId="77777777" w:rsidR="00510CAB" w:rsidRDefault="00510CAB" w:rsidP="00510CAB"/>
        </w:tc>
        <w:tc>
          <w:tcPr>
            <w:tcW w:w="2161" w:type="dxa"/>
            <w:tcBorders>
              <w:top w:val="nil"/>
              <w:left w:val="nil"/>
              <w:bottom w:val="nil"/>
              <w:right w:val="nil"/>
            </w:tcBorders>
          </w:tcPr>
          <w:p w14:paraId="520B7F8F" w14:textId="77777777" w:rsidR="00510CAB" w:rsidRDefault="00510CAB" w:rsidP="00510CAB"/>
        </w:tc>
        <w:tc>
          <w:tcPr>
            <w:tcW w:w="2149" w:type="dxa"/>
            <w:gridSpan w:val="2"/>
            <w:tcBorders>
              <w:top w:val="nil"/>
              <w:left w:val="nil"/>
              <w:bottom w:val="nil"/>
              <w:right w:val="nil"/>
            </w:tcBorders>
          </w:tcPr>
          <w:p w14:paraId="1E2969F7" w14:textId="77777777" w:rsidR="00510CAB" w:rsidRDefault="00510CAB" w:rsidP="00510CAB"/>
        </w:tc>
        <w:tc>
          <w:tcPr>
            <w:tcW w:w="2154" w:type="dxa"/>
            <w:tcBorders>
              <w:top w:val="nil"/>
              <w:left w:val="nil"/>
              <w:bottom w:val="nil"/>
              <w:right w:val="nil"/>
            </w:tcBorders>
          </w:tcPr>
          <w:p w14:paraId="35D2FA7A" w14:textId="77777777" w:rsidR="00510CAB" w:rsidRDefault="00510CAB" w:rsidP="00510CAB"/>
        </w:tc>
      </w:tr>
      <w:tr w:rsidR="00510CAB" w14:paraId="4F7282A1" w14:textId="77777777" w:rsidTr="00510CAB">
        <w:trPr>
          <w:trHeight w:val="278"/>
        </w:trPr>
        <w:tc>
          <w:tcPr>
            <w:tcW w:w="10800" w:type="dxa"/>
            <w:gridSpan w:val="6"/>
            <w:tcBorders>
              <w:top w:val="nil"/>
              <w:left w:val="nil"/>
              <w:bottom w:val="nil"/>
              <w:right w:val="nil"/>
            </w:tcBorders>
          </w:tcPr>
          <w:p w14:paraId="20A0AF51" w14:textId="77777777" w:rsidR="00510CAB" w:rsidRPr="00AE36EC" w:rsidRDefault="00510CAB" w:rsidP="00510CAB">
            <w:pPr>
              <w:spacing w:after="80"/>
              <w:rPr>
                <w:rFonts w:ascii="Arial" w:hAnsi="Arial" w:cs="Arial"/>
                <w:u w:val="single"/>
              </w:rPr>
            </w:pPr>
            <w:r w:rsidRPr="00AE36EC">
              <w:rPr>
                <w:rFonts w:ascii="Arial" w:hAnsi="Arial" w:cs="Arial"/>
                <w:u w:val="single"/>
              </w:rPr>
              <w:t>Professional Membership and Honors</w:t>
            </w:r>
          </w:p>
        </w:tc>
      </w:tr>
      <w:tr w:rsidR="00510CAB" w14:paraId="23EA281A" w14:textId="77777777" w:rsidTr="00510CAB">
        <w:trPr>
          <w:trHeight w:val="278"/>
        </w:trPr>
        <w:tc>
          <w:tcPr>
            <w:tcW w:w="2166" w:type="dxa"/>
            <w:tcBorders>
              <w:top w:val="nil"/>
              <w:left w:val="nil"/>
              <w:bottom w:val="nil"/>
              <w:right w:val="nil"/>
            </w:tcBorders>
          </w:tcPr>
          <w:p w14:paraId="770A29E9" w14:textId="77777777" w:rsidR="00510CAB" w:rsidRPr="00AE36EC" w:rsidRDefault="00510CAB" w:rsidP="00510CAB">
            <w:pPr>
              <w:spacing w:after="80"/>
              <w:rPr>
                <w:rFonts w:ascii="Arial" w:hAnsi="Arial" w:cs="Arial"/>
              </w:rPr>
            </w:pPr>
            <w:r w:rsidRPr="00AE36EC">
              <w:rPr>
                <w:rFonts w:ascii="Arial" w:hAnsi="Arial" w:cs="Arial"/>
              </w:rPr>
              <w:t>2003-Present</w:t>
            </w:r>
          </w:p>
        </w:tc>
        <w:tc>
          <w:tcPr>
            <w:tcW w:w="8634" w:type="dxa"/>
            <w:gridSpan w:val="5"/>
            <w:tcBorders>
              <w:top w:val="nil"/>
              <w:left w:val="nil"/>
              <w:bottom w:val="nil"/>
              <w:right w:val="nil"/>
            </w:tcBorders>
          </w:tcPr>
          <w:p w14:paraId="5BF6BE2A" w14:textId="77777777" w:rsidR="00510CAB" w:rsidRPr="00AE36EC" w:rsidRDefault="00510CAB" w:rsidP="00510CAB">
            <w:pPr>
              <w:spacing w:after="80"/>
              <w:rPr>
                <w:rFonts w:ascii="Arial" w:hAnsi="Arial" w:cs="Arial"/>
              </w:rPr>
            </w:pPr>
            <w:r w:rsidRPr="00AE36EC">
              <w:rPr>
                <w:rFonts w:ascii="Arial" w:hAnsi="Arial" w:cs="Arial"/>
              </w:rPr>
              <w:t>American Society of Biochemistry and Molecular Biology</w:t>
            </w:r>
          </w:p>
        </w:tc>
      </w:tr>
      <w:tr w:rsidR="00510CAB" w14:paraId="291A12FB" w14:textId="77777777" w:rsidTr="00510CAB">
        <w:trPr>
          <w:trHeight w:val="278"/>
        </w:trPr>
        <w:tc>
          <w:tcPr>
            <w:tcW w:w="2166" w:type="dxa"/>
            <w:tcBorders>
              <w:top w:val="nil"/>
              <w:left w:val="nil"/>
              <w:bottom w:val="nil"/>
              <w:right w:val="nil"/>
            </w:tcBorders>
          </w:tcPr>
          <w:p w14:paraId="691134ED" w14:textId="77777777" w:rsidR="00510CAB" w:rsidRPr="00AE36EC" w:rsidRDefault="00510CAB" w:rsidP="00510CAB">
            <w:pPr>
              <w:spacing w:after="80"/>
              <w:rPr>
                <w:rFonts w:ascii="Arial" w:hAnsi="Arial" w:cs="Arial"/>
              </w:rPr>
            </w:pPr>
            <w:r w:rsidRPr="00AE36EC">
              <w:rPr>
                <w:rFonts w:ascii="Arial" w:hAnsi="Arial" w:cs="Arial"/>
              </w:rPr>
              <w:t>2005-Present</w:t>
            </w:r>
          </w:p>
        </w:tc>
        <w:tc>
          <w:tcPr>
            <w:tcW w:w="8634" w:type="dxa"/>
            <w:gridSpan w:val="5"/>
            <w:tcBorders>
              <w:top w:val="nil"/>
              <w:left w:val="nil"/>
              <w:bottom w:val="nil"/>
              <w:right w:val="nil"/>
            </w:tcBorders>
          </w:tcPr>
          <w:p w14:paraId="54284CE0" w14:textId="77777777" w:rsidR="00510CAB" w:rsidRPr="00AE36EC" w:rsidRDefault="00510CAB" w:rsidP="00510CAB">
            <w:pPr>
              <w:spacing w:after="80"/>
              <w:rPr>
                <w:rFonts w:ascii="Arial" w:hAnsi="Arial" w:cs="Arial"/>
              </w:rPr>
            </w:pPr>
            <w:r w:rsidRPr="00AE36EC">
              <w:rPr>
                <w:rFonts w:ascii="Arial" w:hAnsi="Arial" w:cs="Arial"/>
              </w:rPr>
              <w:t>American Heart Association, Council on Arteriosclerosis, Thrombosis and Vascular Biology (ATVB)</w:t>
            </w:r>
          </w:p>
        </w:tc>
      </w:tr>
      <w:tr w:rsidR="00510CAB" w14:paraId="627F6888" w14:textId="77777777" w:rsidTr="00510CAB">
        <w:trPr>
          <w:trHeight w:val="278"/>
        </w:trPr>
        <w:tc>
          <w:tcPr>
            <w:tcW w:w="2166" w:type="dxa"/>
            <w:tcBorders>
              <w:top w:val="nil"/>
              <w:left w:val="nil"/>
              <w:bottom w:val="nil"/>
              <w:right w:val="nil"/>
            </w:tcBorders>
          </w:tcPr>
          <w:p w14:paraId="6856E659" w14:textId="77777777" w:rsidR="00510CAB" w:rsidRDefault="00510CAB" w:rsidP="00510CAB">
            <w:pPr>
              <w:spacing w:after="80"/>
            </w:pPr>
          </w:p>
        </w:tc>
        <w:tc>
          <w:tcPr>
            <w:tcW w:w="6416" w:type="dxa"/>
            <w:gridSpan w:val="3"/>
            <w:tcBorders>
              <w:top w:val="nil"/>
              <w:left w:val="nil"/>
              <w:bottom w:val="nil"/>
              <w:right w:val="nil"/>
            </w:tcBorders>
          </w:tcPr>
          <w:p w14:paraId="68CFC2E4" w14:textId="77777777" w:rsidR="00510CAB" w:rsidRPr="00AE36EC" w:rsidRDefault="00510CAB" w:rsidP="00510CAB">
            <w:pPr>
              <w:pStyle w:val="DataField11pt-Single"/>
              <w:numPr>
                <w:ilvl w:val="0"/>
                <w:numId w:val="2"/>
              </w:numPr>
              <w:spacing w:after="80" w:line="280" w:lineRule="atLeast"/>
              <w:rPr>
                <w:szCs w:val="22"/>
              </w:rPr>
            </w:pPr>
            <w:r w:rsidRPr="00AE36EC">
              <w:rPr>
                <w:szCs w:val="22"/>
              </w:rPr>
              <w:t>ATVB Leadership Committee</w:t>
            </w:r>
          </w:p>
        </w:tc>
        <w:tc>
          <w:tcPr>
            <w:tcW w:w="2218" w:type="dxa"/>
            <w:gridSpan w:val="2"/>
            <w:tcBorders>
              <w:top w:val="nil"/>
              <w:left w:val="nil"/>
              <w:bottom w:val="nil"/>
              <w:right w:val="nil"/>
            </w:tcBorders>
          </w:tcPr>
          <w:p w14:paraId="05748783" w14:textId="11749F83" w:rsidR="00510CAB" w:rsidRPr="00AE36EC" w:rsidRDefault="00510CAB" w:rsidP="00510CAB">
            <w:pPr>
              <w:pStyle w:val="DataField11pt-Single"/>
              <w:spacing w:after="80" w:line="280" w:lineRule="atLeast"/>
              <w:rPr>
                <w:szCs w:val="22"/>
              </w:rPr>
            </w:pPr>
            <w:r w:rsidRPr="00AE36EC">
              <w:rPr>
                <w:szCs w:val="22"/>
              </w:rPr>
              <w:t>2013-</w:t>
            </w:r>
            <w:r>
              <w:rPr>
                <w:szCs w:val="22"/>
              </w:rPr>
              <w:t>2015</w:t>
            </w:r>
          </w:p>
        </w:tc>
      </w:tr>
      <w:tr w:rsidR="00510CAB" w14:paraId="5997A446" w14:textId="77777777" w:rsidTr="00510CAB">
        <w:trPr>
          <w:trHeight w:val="278"/>
        </w:trPr>
        <w:tc>
          <w:tcPr>
            <w:tcW w:w="2166" w:type="dxa"/>
            <w:tcBorders>
              <w:top w:val="nil"/>
              <w:left w:val="nil"/>
              <w:bottom w:val="nil"/>
              <w:right w:val="nil"/>
            </w:tcBorders>
          </w:tcPr>
          <w:p w14:paraId="4CDA0F3C" w14:textId="77777777" w:rsidR="00510CAB" w:rsidRDefault="00510CAB" w:rsidP="00510CAB">
            <w:pPr>
              <w:spacing w:after="80"/>
            </w:pPr>
          </w:p>
        </w:tc>
        <w:tc>
          <w:tcPr>
            <w:tcW w:w="6416" w:type="dxa"/>
            <w:gridSpan w:val="3"/>
            <w:tcBorders>
              <w:top w:val="nil"/>
              <w:left w:val="nil"/>
              <w:bottom w:val="nil"/>
              <w:right w:val="nil"/>
            </w:tcBorders>
          </w:tcPr>
          <w:p w14:paraId="648744DD" w14:textId="77777777" w:rsidR="00510CAB" w:rsidRPr="00AE36EC" w:rsidRDefault="00510CAB" w:rsidP="00510CAB">
            <w:pPr>
              <w:pStyle w:val="ListParagraph"/>
              <w:numPr>
                <w:ilvl w:val="0"/>
                <w:numId w:val="3"/>
              </w:numPr>
              <w:spacing w:after="80"/>
              <w:rPr>
                <w:rFonts w:ascii="Arial" w:hAnsi="Arial"/>
                <w:b/>
                <w:sz w:val="22"/>
                <w:szCs w:val="22"/>
              </w:rPr>
            </w:pPr>
            <w:r w:rsidRPr="00AE36EC">
              <w:rPr>
                <w:rFonts w:ascii="Arial" w:hAnsi="Arial"/>
                <w:color w:val="000000"/>
                <w:sz w:val="22"/>
                <w:szCs w:val="22"/>
              </w:rPr>
              <w:t>ATVB Early Career Committee</w:t>
            </w:r>
            <w:r w:rsidRPr="00AE36EC">
              <w:rPr>
                <w:rFonts w:ascii="Arial" w:hAnsi="Arial"/>
                <w:sz w:val="22"/>
                <w:szCs w:val="22"/>
              </w:rPr>
              <w:t xml:space="preserve"> </w:t>
            </w:r>
          </w:p>
        </w:tc>
        <w:tc>
          <w:tcPr>
            <w:tcW w:w="2218" w:type="dxa"/>
            <w:gridSpan w:val="2"/>
            <w:tcBorders>
              <w:top w:val="nil"/>
              <w:left w:val="nil"/>
              <w:bottom w:val="nil"/>
              <w:right w:val="nil"/>
            </w:tcBorders>
          </w:tcPr>
          <w:p w14:paraId="3469CAD9" w14:textId="77777777" w:rsidR="00510CAB" w:rsidRPr="00AE36EC" w:rsidRDefault="00510CAB" w:rsidP="00510CAB">
            <w:pPr>
              <w:pStyle w:val="DataField11pt-Single"/>
              <w:spacing w:after="80" w:line="280" w:lineRule="atLeast"/>
              <w:rPr>
                <w:szCs w:val="22"/>
              </w:rPr>
            </w:pPr>
            <w:r w:rsidRPr="00AE36EC">
              <w:rPr>
                <w:szCs w:val="22"/>
              </w:rPr>
              <w:t>2008-2014</w:t>
            </w:r>
          </w:p>
        </w:tc>
      </w:tr>
      <w:tr w:rsidR="00510CAB" w14:paraId="0F1EF646" w14:textId="77777777" w:rsidTr="00510CAB">
        <w:trPr>
          <w:trHeight w:val="278"/>
        </w:trPr>
        <w:tc>
          <w:tcPr>
            <w:tcW w:w="2166" w:type="dxa"/>
            <w:tcBorders>
              <w:top w:val="nil"/>
              <w:left w:val="nil"/>
              <w:bottom w:val="nil"/>
              <w:right w:val="nil"/>
            </w:tcBorders>
          </w:tcPr>
          <w:p w14:paraId="2985E92C" w14:textId="77777777" w:rsidR="00510CAB" w:rsidRDefault="00510CAB" w:rsidP="00510CAB">
            <w:pPr>
              <w:spacing w:after="80"/>
            </w:pPr>
          </w:p>
        </w:tc>
        <w:tc>
          <w:tcPr>
            <w:tcW w:w="6416" w:type="dxa"/>
            <w:gridSpan w:val="3"/>
            <w:tcBorders>
              <w:top w:val="nil"/>
              <w:left w:val="nil"/>
              <w:bottom w:val="nil"/>
              <w:right w:val="nil"/>
            </w:tcBorders>
          </w:tcPr>
          <w:p w14:paraId="114F0B5D" w14:textId="77777777" w:rsidR="00510CAB" w:rsidRPr="00AE36EC" w:rsidRDefault="00510CAB" w:rsidP="00510CAB">
            <w:pPr>
              <w:pStyle w:val="DataField11pt-Single"/>
              <w:numPr>
                <w:ilvl w:val="1"/>
                <w:numId w:val="3"/>
              </w:numPr>
              <w:spacing w:after="80" w:line="280" w:lineRule="atLeast"/>
              <w:rPr>
                <w:szCs w:val="22"/>
              </w:rPr>
            </w:pPr>
            <w:r w:rsidRPr="00AE36EC">
              <w:rPr>
                <w:color w:val="000000"/>
                <w:szCs w:val="22"/>
              </w:rPr>
              <w:t>Chair</w:t>
            </w:r>
          </w:p>
        </w:tc>
        <w:tc>
          <w:tcPr>
            <w:tcW w:w="2218" w:type="dxa"/>
            <w:gridSpan w:val="2"/>
            <w:tcBorders>
              <w:top w:val="nil"/>
              <w:left w:val="nil"/>
              <w:bottom w:val="nil"/>
              <w:right w:val="nil"/>
            </w:tcBorders>
          </w:tcPr>
          <w:p w14:paraId="2073A21D" w14:textId="77777777" w:rsidR="00510CAB" w:rsidRPr="00AE36EC" w:rsidRDefault="00510CAB" w:rsidP="00510CAB">
            <w:pPr>
              <w:spacing w:after="80"/>
              <w:rPr>
                <w:rFonts w:ascii="Arial" w:hAnsi="Arial" w:cs="Arial"/>
                <w:b/>
              </w:rPr>
            </w:pPr>
            <w:r w:rsidRPr="00AE36EC">
              <w:rPr>
                <w:rFonts w:ascii="Arial" w:hAnsi="Arial" w:cs="Arial"/>
                <w:color w:val="000000"/>
              </w:rPr>
              <w:t>2010-2012</w:t>
            </w:r>
          </w:p>
        </w:tc>
      </w:tr>
      <w:tr w:rsidR="00510CAB" w14:paraId="0F4FDB39" w14:textId="77777777" w:rsidTr="00510CAB">
        <w:trPr>
          <w:trHeight w:val="278"/>
        </w:trPr>
        <w:tc>
          <w:tcPr>
            <w:tcW w:w="2166" w:type="dxa"/>
            <w:tcBorders>
              <w:top w:val="nil"/>
              <w:left w:val="nil"/>
              <w:bottom w:val="nil"/>
              <w:right w:val="nil"/>
            </w:tcBorders>
          </w:tcPr>
          <w:p w14:paraId="31DA96B3" w14:textId="77777777" w:rsidR="00510CAB" w:rsidRDefault="00510CAB" w:rsidP="00510CAB">
            <w:pPr>
              <w:spacing w:after="80"/>
            </w:pPr>
          </w:p>
        </w:tc>
        <w:tc>
          <w:tcPr>
            <w:tcW w:w="6416" w:type="dxa"/>
            <w:gridSpan w:val="3"/>
            <w:tcBorders>
              <w:top w:val="nil"/>
              <w:left w:val="nil"/>
              <w:bottom w:val="nil"/>
              <w:right w:val="nil"/>
            </w:tcBorders>
          </w:tcPr>
          <w:p w14:paraId="29D41E81" w14:textId="77777777" w:rsidR="00510CAB" w:rsidRPr="00AE36EC" w:rsidRDefault="00510CAB" w:rsidP="00510CAB">
            <w:pPr>
              <w:pStyle w:val="DataField11pt-Single"/>
              <w:numPr>
                <w:ilvl w:val="1"/>
                <w:numId w:val="3"/>
              </w:numPr>
              <w:spacing w:after="80" w:line="280" w:lineRule="atLeast"/>
              <w:rPr>
                <w:szCs w:val="22"/>
              </w:rPr>
            </w:pPr>
            <w:r w:rsidRPr="00AE36EC">
              <w:rPr>
                <w:szCs w:val="22"/>
              </w:rPr>
              <w:t>Immediate Past Chair</w:t>
            </w:r>
          </w:p>
        </w:tc>
        <w:tc>
          <w:tcPr>
            <w:tcW w:w="2218" w:type="dxa"/>
            <w:gridSpan w:val="2"/>
            <w:tcBorders>
              <w:top w:val="nil"/>
              <w:left w:val="nil"/>
              <w:bottom w:val="nil"/>
              <w:right w:val="nil"/>
            </w:tcBorders>
          </w:tcPr>
          <w:p w14:paraId="49A30DA9" w14:textId="77777777" w:rsidR="00510CAB" w:rsidRPr="00AE36EC" w:rsidRDefault="00510CAB" w:rsidP="00510CAB">
            <w:pPr>
              <w:spacing w:after="80"/>
              <w:rPr>
                <w:rFonts w:ascii="Arial" w:hAnsi="Arial" w:cs="Arial"/>
                <w:b/>
              </w:rPr>
            </w:pPr>
            <w:r w:rsidRPr="00AE36EC">
              <w:rPr>
                <w:rFonts w:ascii="Arial" w:hAnsi="Arial" w:cs="Arial"/>
                <w:color w:val="000000"/>
              </w:rPr>
              <w:t>2012-2014</w:t>
            </w:r>
          </w:p>
        </w:tc>
      </w:tr>
      <w:tr w:rsidR="00510CAB" w14:paraId="7D55BE83" w14:textId="77777777" w:rsidTr="00510CAB">
        <w:trPr>
          <w:trHeight w:val="278"/>
        </w:trPr>
        <w:tc>
          <w:tcPr>
            <w:tcW w:w="2166" w:type="dxa"/>
            <w:tcBorders>
              <w:top w:val="nil"/>
              <w:left w:val="nil"/>
              <w:bottom w:val="nil"/>
              <w:right w:val="nil"/>
            </w:tcBorders>
          </w:tcPr>
          <w:p w14:paraId="0599D07C" w14:textId="77777777" w:rsidR="00510CAB" w:rsidRDefault="00510CAB" w:rsidP="00510CAB">
            <w:pPr>
              <w:spacing w:after="80"/>
            </w:pPr>
          </w:p>
        </w:tc>
        <w:tc>
          <w:tcPr>
            <w:tcW w:w="6416" w:type="dxa"/>
            <w:gridSpan w:val="3"/>
            <w:tcBorders>
              <w:top w:val="nil"/>
              <w:left w:val="nil"/>
              <w:bottom w:val="nil"/>
              <w:right w:val="nil"/>
            </w:tcBorders>
          </w:tcPr>
          <w:p w14:paraId="78DFD00D" w14:textId="77777777" w:rsidR="00510CAB" w:rsidRPr="00AE36EC" w:rsidRDefault="00510CAB" w:rsidP="00510CAB">
            <w:pPr>
              <w:pStyle w:val="DataField11pt-Single"/>
              <w:numPr>
                <w:ilvl w:val="0"/>
                <w:numId w:val="3"/>
              </w:numPr>
              <w:spacing w:after="80" w:line="280" w:lineRule="atLeast"/>
              <w:rPr>
                <w:szCs w:val="22"/>
              </w:rPr>
            </w:pPr>
            <w:r w:rsidRPr="00AE36EC">
              <w:rPr>
                <w:color w:val="000000"/>
                <w:szCs w:val="22"/>
              </w:rPr>
              <w:t>ATVB Scientific Sessions Programming Committee</w:t>
            </w:r>
          </w:p>
        </w:tc>
        <w:tc>
          <w:tcPr>
            <w:tcW w:w="2218" w:type="dxa"/>
            <w:gridSpan w:val="2"/>
            <w:tcBorders>
              <w:top w:val="nil"/>
              <w:left w:val="nil"/>
              <w:bottom w:val="nil"/>
              <w:right w:val="nil"/>
            </w:tcBorders>
          </w:tcPr>
          <w:p w14:paraId="3D3D8CF7" w14:textId="77777777" w:rsidR="00510CAB" w:rsidRPr="00AE36EC" w:rsidRDefault="00510CAB" w:rsidP="00510CAB">
            <w:pPr>
              <w:spacing w:after="80"/>
              <w:rPr>
                <w:rFonts w:ascii="Arial" w:hAnsi="Arial" w:cs="Arial"/>
              </w:rPr>
            </w:pPr>
            <w:r w:rsidRPr="00AE36EC">
              <w:rPr>
                <w:rFonts w:ascii="Arial" w:hAnsi="Arial" w:cs="Arial"/>
                <w:color w:val="000000"/>
              </w:rPr>
              <w:t>2010 &amp; 2011</w:t>
            </w:r>
          </w:p>
        </w:tc>
      </w:tr>
      <w:tr w:rsidR="00510CAB" w14:paraId="51B2133F" w14:textId="77777777" w:rsidTr="00510CAB">
        <w:trPr>
          <w:trHeight w:val="278"/>
        </w:trPr>
        <w:tc>
          <w:tcPr>
            <w:tcW w:w="2166" w:type="dxa"/>
            <w:tcBorders>
              <w:top w:val="nil"/>
              <w:left w:val="nil"/>
              <w:bottom w:val="nil"/>
              <w:right w:val="nil"/>
            </w:tcBorders>
          </w:tcPr>
          <w:p w14:paraId="5D7A9F2D" w14:textId="77777777" w:rsidR="00510CAB" w:rsidRDefault="00510CAB" w:rsidP="00510CAB">
            <w:pPr>
              <w:spacing w:after="80"/>
            </w:pPr>
          </w:p>
        </w:tc>
        <w:tc>
          <w:tcPr>
            <w:tcW w:w="6416" w:type="dxa"/>
            <w:gridSpan w:val="3"/>
            <w:tcBorders>
              <w:top w:val="nil"/>
              <w:left w:val="nil"/>
              <w:bottom w:val="nil"/>
              <w:right w:val="nil"/>
            </w:tcBorders>
          </w:tcPr>
          <w:p w14:paraId="4439574A" w14:textId="77777777" w:rsidR="00510CAB" w:rsidRPr="00AE36EC" w:rsidRDefault="00510CAB" w:rsidP="00510CAB">
            <w:pPr>
              <w:pStyle w:val="DataField11pt-Single"/>
              <w:numPr>
                <w:ilvl w:val="0"/>
                <w:numId w:val="3"/>
              </w:numPr>
              <w:spacing w:after="80" w:line="280" w:lineRule="atLeast"/>
              <w:rPr>
                <w:color w:val="000000"/>
                <w:szCs w:val="22"/>
              </w:rPr>
            </w:pPr>
            <w:r w:rsidRPr="00AE36EC">
              <w:rPr>
                <w:color w:val="000000"/>
                <w:szCs w:val="22"/>
              </w:rPr>
              <w:t>AHA Scientific Sessions Programming Committee</w:t>
            </w:r>
          </w:p>
        </w:tc>
        <w:tc>
          <w:tcPr>
            <w:tcW w:w="2218" w:type="dxa"/>
            <w:gridSpan w:val="2"/>
            <w:tcBorders>
              <w:top w:val="nil"/>
              <w:left w:val="nil"/>
              <w:bottom w:val="nil"/>
              <w:right w:val="nil"/>
            </w:tcBorders>
          </w:tcPr>
          <w:p w14:paraId="66D698D5" w14:textId="7864B645" w:rsidR="00510CAB" w:rsidRPr="00AE36EC" w:rsidRDefault="00510CAB" w:rsidP="00510CAB">
            <w:pPr>
              <w:spacing w:after="80"/>
              <w:rPr>
                <w:rFonts w:ascii="Arial" w:hAnsi="Arial" w:cs="Arial"/>
                <w:color w:val="000000"/>
              </w:rPr>
            </w:pPr>
            <w:r>
              <w:rPr>
                <w:rFonts w:ascii="Arial" w:hAnsi="Arial" w:cs="Arial"/>
                <w:color w:val="000000"/>
              </w:rPr>
              <w:t>2014-2017</w:t>
            </w:r>
          </w:p>
        </w:tc>
      </w:tr>
      <w:tr w:rsidR="00510CAB" w14:paraId="1B47094F" w14:textId="77777777" w:rsidTr="00510CAB">
        <w:trPr>
          <w:trHeight w:val="278"/>
        </w:trPr>
        <w:tc>
          <w:tcPr>
            <w:tcW w:w="2166" w:type="dxa"/>
            <w:tcBorders>
              <w:top w:val="nil"/>
              <w:left w:val="nil"/>
              <w:bottom w:val="nil"/>
              <w:right w:val="nil"/>
            </w:tcBorders>
          </w:tcPr>
          <w:p w14:paraId="379938FF" w14:textId="77777777" w:rsidR="00510CAB" w:rsidRDefault="00510CAB" w:rsidP="00510CAB"/>
        </w:tc>
        <w:tc>
          <w:tcPr>
            <w:tcW w:w="8634" w:type="dxa"/>
            <w:gridSpan w:val="5"/>
            <w:tcBorders>
              <w:top w:val="nil"/>
              <w:left w:val="nil"/>
              <w:bottom w:val="nil"/>
              <w:right w:val="nil"/>
            </w:tcBorders>
          </w:tcPr>
          <w:p w14:paraId="0C2C51B3" w14:textId="77777777" w:rsidR="00510CAB" w:rsidRDefault="00510CAB" w:rsidP="00510CAB"/>
        </w:tc>
      </w:tr>
      <w:tr w:rsidR="00510CAB" w14:paraId="73F9861C" w14:textId="77777777" w:rsidTr="00510CAB">
        <w:trPr>
          <w:trHeight w:val="278"/>
        </w:trPr>
        <w:tc>
          <w:tcPr>
            <w:tcW w:w="2166" w:type="dxa"/>
            <w:tcBorders>
              <w:top w:val="nil"/>
              <w:left w:val="nil"/>
              <w:bottom w:val="nil"/>
              <w:right w:val="nil"/>
            </w:tcBorders>
          </w:tcPr>
          <w:p w14:paraId="45C5F127" w14:textId="44EF212B" w:rsidR="00510CAB" w:rsidRPr="00AE36EC" w:rsidRDefault="00510CAB" w:rsidP="00510CAB">
            <w:pPr>
              <w:pStyle w:val="DataField11pt-Single"/>
              <w:spacing w:after="80" w:line="280" w:lineRule="atLeast"/>
            </w:pPr>
            <w:r>
              <w:t>2018</w:t>
            </w:r>
          </w:p>
        </w:tc>
        <w:tc>
          <w:tcPr>
            <w:tcW w:w="8634" w:type="dxa"/>
            <w:gridSpan w:val="5"/>
            <w:tcBorders>
              <w:top w:val="nil"/>
              <w:left w:val="nil"/>
              <w:bottom w:val="nil"/>
              <w:right w:val="nil"/>
            </w:tcBorders>
          </w:tcPr>
          <w:p w14:paraId="55C14ED1" w14:textId="0AFB74C4" w:rsidR="00510CAB" w:rsidRPr="00AE36EC" w:rsidRDefault="00510CAB" w:rsidP="00510CAB">
            <w:pPr>
              <w:spacing w:after="80" w:line="280" w:lineRule="atLeast"/>
              <w:rPr>
                <w:rFonts w:ascii="Arial" w:hAnsi="Arial" w:cs="Arial"/>
              </w:rPr>
            </w:pPr>
            <w:r w:rsidRPr="003B1FB2">
              <w:rPr>
                <w:rFonts w:ascii="Arial" w:hAnsi="Arial" w:cs="Arial"/>
              </w:rPr>
              <w:t>Alzheimer’s Association International Society to Advance Alzheimer’s Research and Treatment</w:t>
            </w:r>
            <w:r>
              <w:rPr>
                <w:rFonts w:ascii="Arial" w:hAnsi="Arial" w:cs="Arial"/>
              </w:rPr>
              <w:t xml:space="preserve"> (ISTAART)</w:t>
            </w:r>
          </w:p>
        </w:tc>
      </w:tr>
      <w:tr w:rsidR="00510CAB" w14:paraId="4BDEF020" w14:textId="77777777" w:rsidTr="00510CAB">
        <w:trPr>
          <w:trHeight w:val="278"/>
        </w:trPr>
        <w:tc>
          <w:tcPr>
            <w:tcW w:w="2166" w:type="dxa"/>
            <w:tcBorders>
              <w:top w:val="nil"/>
              <w:left w:val="nil"/>
              <w:bottom w:val="nil"/>
              <w:right w:val="nil"/>
            </w:tcBorders>
          </w:tcPr>
          <w:p w14:paraId="0F3CE7E8" w14:textId="77777777" w:rsidR="00510CAB" w:rsidRPr="00AE36EC" w:rsidRDefault="00510CAB" w:rsidP="00510CAB">
            <w:pPr>
              <w:pStyle w:val="DataField11pt-Single"/>
              <w:spacing w:after="80" w:line="280" w:lineRule="atLeast"/>
            </w:pPr>
            <w:r w:rsidRPr="00AE36EC">
              <w:t>1991-1995</w:t>
            </w:r>
          </w:p>
        </w:tc>
        <w:tc>
          <w:tcPr>
            <w:tcW w:w="8634" w:type="dxa"/>
            <w:gridSpan w:val="5"/>
            <w:tcBorders>
              <w:top w:val="nil"/>
              <w:left w:val="nil"/>
              <w:bottom w:val="nil"/>
              <w:right w:val="nil"/>
            </w:tcBorders>
          </w:tcPr>
          <w:p w14:paraId="2E995858" w14:textId="77777777" w:rsidR="00510CAB" w:rsidRPr="00AE36EC" w:rsidRDefault="00510CAB" w:rsidP="00510CAB">
            <w:pPr>
              <w:spacing w:after="80" w:line="280" w:lineRule="atLeast"/>
              <w:rPr>
                <w:rFonts w:ascii="Arial" w:hAnsi="Arial" w:cs="Arial"/>
              </w:rPr>
            </w:pPr>
            <w:r w:rsidRPr="00AE36EC">
              <w:rPr>
                <w:rFonts w:ascii="Arial" w:hAnsi="Arial" w:cs="Arial"/>
              </w:rPr>
              <w:t>Presidential Scholarship, Allegheny College</w:t>
            </w:r>
          </w:p>
        </w:tc>
      </w:tr>
      <w:tr w:rsidR="00510CAB" w14:paraId="32350CCB" w14:textId="77777777" w:rsidTr="00510CAB">
        <w:trPr>
          <w:trHeight w:val="278"/>
        </w:trPr>
        <w:tc>
          <w:tcPr>
            <w:tcW w:w="2166" w:type="dxa"/>
            <w:tcBorders>
              <w:top w:val="nil"/>
              <w:left w:val="nil"/>
              <w:bottom w:val="nil"/>
              <w:right w:val="nil"/>
            </w:tcBorders>
          </w:tcPr>
          <w:p w14:paraId="42AED264" w14:textId="77777777" w:rsidR="00510CAB" w:rsidRPr="00AE36EC" w:rsidRDefault="00510CAB" w:rsidP="00510CAB">
            <w:pPr>
              <w:pStyle w:val="DataField11pt-Single"/>
              <w:spacing w:after="80" w:line="280" w:lineRule="atLeast"/>
            </w:pPr>
            <w:r w:rsidRPr="00AE36EC">
              <w:t>1991-1993</w:t>
            </w:r>
          </w:p>
        </w:tc>
        <w:tc>
          <w:tcPr>
            <w:tcW w:w="8634" w:type="dxa"/>
            <w:gridSpan w:val="5"/>
            <w:tcBorders>
              <w:top w:val="nil"/>
              <w:left w:val="nil"/>
              <w:bottom w:val="nil"/>
              <w:right w:val="nil"/>
            </w:tcBorders>
          </w:tcPr>
          <w:p w14:paraId="47CA2D34" w14:textId="77777777" w:rsidR="00510CAB" w:rsidRPr="00AE36EC" w:rsidRDefault="00510CAB" w:rsidP="00510CAB">
            <w:pPr>
              <w:spacing w:after="80" w:line="280" w:lineRule="atLeast"/>
              <w:rPr>
                <w:rFonts w:ascii="Arial" w:hAnsi="Arial" w:cs="Arial"/>
              </w:rPr>
            </w:pPr>
            <w:proofErr w:type="spellStart"/>
            <w:r w:rsidRPr="00AE36EC">
              <w:rPr>
                <w:rFonts w:ascii="Arial" w:hAnsi="Arial" w:cs="Arial"/>
              </w:rPr>
              <w:t>Doane</w:t>
            </w:r>
            <w:proofErr w:type="spellEnd"/>
            <w:r w:rsidRPr="00AE36EC">
              <w:rPr>
                <w:rFonts w:ascii="Arial" w:hAnsi="Arial" w:cs="Arial"/>
              </w:rPr>
              <w:t xml:space="preserve"> Distinguished Scholar, Allegheny College</w:t>
            </w:r>
          </w:p>
        </w:tc>
      </w:tr>
      <w:tr w:rsidR="00510CAB" w14:paraId="337C4102" w14:textId="77777777" w:rsidTr="00510CAB">
        <w:trPr>
          <w:trHeight w:val="278"/>
        </w:trPr>
        <w:tc>
          <w:tcPr>
            <w:tcW w:w="2166" w:type="dxa"/>
            <w:tcBorders>
              <w:top w:val="nil"/>
              <w:left w:val="nil"/>
              <w:bottom w:val="nil"/>
              <w:right w:val="nil"/>
            </w:tcBorders>
          </w:tcPr>
          <w:p w14:paraId="3838869D" w14:textId="77777777" w:rsidR="00510CAB" w:rsidRPr="00AE36EC" w:rsidRDefault="00510CAB" w:rsidP="00510CAB">
            <w:pPr>
              <w:pStyle w:val="DataField11pt-Single"/>
              <w:spacing w:after="80" w:line="280" w:lineRule="atLeast"/>
            </w:pPr>
            <w:r w:rsidRPr="00AE36EC">
              <w:t>1991-1995</w:t>
            </w:r>
          </w:p>
        </w:tc>
        <w:tc>
          <w:tcPr>
            <w:tcW w:w="8634" w:type="dxa"/>
            <w:gridSpan w:val="5"/>
            <w:tcBorders>
              <w:top w:val="nil"/>
              <w:left w:val="nil"/>
              <w:bottom w:val="nil"/>
              <w:right w:val="nil"/>
            </w:tcBorders>
          </w:tcPr>
          <w:p w14:paraId="6B90F7B8" w14:textId="77777777" w:rsidR="00510CAB" w:rsidRPr="00AE36EC" w:rsidRDefault="00510CAB" w:rsidP="00510CAB">
            <w:pPr>
              <w:pStyle w:val="DataField11pt-Single"/>
              <w:spacing w:after="80" w:line="280" w:lineRule="atLeast"/>
            </w:pPr>
            <w:r w:rsidRPr="00AE36EC">
              <w:t>Alden Scholar, Allegheny College</w:t>
            </w:r>
          </w:p>
        </w:tc>
      </w:tr>
      <w:tr w:rsidR="00510CAB" w14:paraId="08E00873" w14:textId="77777777" w:rsidTr="00510CAB">
        <w:trPr>
          <w:trHeight w:val="278"/>
        </w:trPr>
        <w:tc>
          <w:tcPr>
            <w:tcW w:w="2166" w:type="dxa"/>
            <w:tcBorders>
              <w:top w:val="nil"/>
              <w:left w:val="nil"/>
              <w:bottom w:val="nil"/>
              <w:right w:val="nil"/>
            </w:tcBorders>
          </w:tcPr>
          <w:p w14:paraId="40D6CA9C" w14:textId="77777777" w:rsidR="00510CAB" w:rsidRPr="00AE36EC" w:rsidRDefault="00510CAB" w:rsidP="00510CAB">
            <w:pPr>
              <w:pStyle w:val="DataField11pt-Single"/>
              <w:spacing w:after="80" w:line="280" w:lineRule="atLeast"/>
            </w:pPr>
            <w:r w:rsidRPr="00AE36EC">
              <w:t>1994</w:t>
            </w:r>
            <w:r w:rsidRPr="00AE36EC">
              <w:tab/>
            </w:r>
          </w:p>
        </w:tc>
        <w:tc>
          <w:tcPr>
            <w:tcW w:w="8634" w:type="dxa"/>
            <w:gridSpan w:val="5"/>
            <w:tcBorders>
              <w:top w:val="nil"/>
              <w:left w:val="nil"/>
              <w:bottom w:val="nil"/>
              <w:right w:val="nil"/>
            </w:tcBorders>
          </w:tcPr>
          <w:p w14:paraId="0B279732" w14:textId="77777777" w:rsidR="00510CAB" w:rsidRPr="00AE36EC" w:rsidRDefault="00510CAB" w:rsidP="00510CAB">
            <w:pPr>
              <w:pStyle w:val="DataField11pt-Single"/>
              <w:spacing w:after="80" w:line="280" w:lineRule="atLeast"/>
            </w:pPr>
            <w:r w:rsidRPr="00AE36EC">
              <w:t>Junior Chemistry Student of the Year, Allegheny College</w:t>
            </w:r>
          </w:p>
        </w:tc>
      </w:tr>
      <w:tr w:rsidR="00510CAB" w14:paraId="6EE80F72" w14:textId="77777777" w:rsidTr="00510CAB">
        <w:trPr>
          <w:trHeight w:val="278"/>
        </w:trPr>
        <w:tc>
          <w:tcPr>
            <w:tcW w:w="2166" w:type="dxa"/>
            <w:tcBorders>
              <w:top w:val="nil"/>
              <w:left w:val="nil"/>
              <w:bottom w:val="nil"/>
              <w:right w:val="nil"/>
            </w:tcBorders>
          </w:tcPr>
          <w:p w14:paraId="15B0C87F" w14:textId="77777777" w:rsidR="00510CAB" w:rsidRPr="00AE36EC" w:rsidRDefault="00510CAB" w:rsidP="00510CAB">
            <w:pPr>
              <w:pStyle w:val="DataField11pt-Single"/>
              <w:spacing w:after="80" w:line="280" w:lineRule="atLeast"/>
            </w:pPr>
            <w:r w:rsidRPr="00AE36EC">
              <w:t>1995</w:t>
            </w:r>
          </w:p>
        </w:tc>
        <w:tc>
          <w:tcPr>
            <w:tcW w:w="8634" w:type="dxa"/>
            <w:gridSpan w:val="5"/>
            <w:tcBorders>
              <w:top w:val="nil"/>
              <w:left w:val="nil"/>
              <w:bottom w:val="nil"/>
              <w:right w:val="nil"/>
            </w:tcBorders>
          </w:tcPr>
          <w:p w14:paraId="3A0863C3" w14:textId="77777777" w:rsidR="00510CAB" w:rsidRPr="00AE36EC" w:rsidRDefault="00510CAB" w:rsidP="00510CAB">
            <w:pPr>
              <w:pStyle w:val="DataField11pt-Single"/>
              <w:spacing w:after="80" w:line="280" w:lineRule="atLeast"/>
            </w:pPr>
            <w:r w:rsidRPr="00AE36EC">
              <w:t>Phi Beta Kappa National Honor Society, Allegheny College</w:t>
            </w:r>
          </w:p>
        </w:tc>
      </w:tr>
      <w:tr w:rsidR="00510CAB" w14:paraId="68A65B7B" w14:textId="77777777" w:rsidTr="00510CAB">
        <w:trPr>
          <w:trHeight w:val="278"/>
        </w:trPr>
        <w:tc>
          <w:tcPr>
            <w:tcW w:w="2166" w:type="dxa"/>
            <w:tcBorders>
              <w:top w:val="nil"/>
              <w:left w:val="nil"/>
              <w:bottom w:val="nil"/>
              <w:right w:val="nil"/>
            </w:tcBorders>
          </w:tcPr>
          <w:p w14:paraId="57A57FEC" w14:textId="77777777" w:rsidR="00510CAB" w:rsidRPr="00AE36EC" w:rsidRDefault="00510CAB" w:rsidP="00510CAB">
            <w:pPr>
              <w:pStyle w:val="DataField11pt-Single"/>
              <w:spacing w:after="80" w:line="280" w:lineRule="atLeast"/>
            </w:pPr>
            <w:r w:rsidRPr="00AE36EC">
              <w:t>2003 &amp; 2006</w:t>
            </w:r>
          </w:p>
        </w:tc>
        <w:tc>
          <w:tcPr>
            <w:tcW w:w="8634" w:type="dxa"/>
            <w:gridSpan w:val="5"/>
            <w:tcBorders>
              <w:top w:val="nil"/>
              <w:left w:val="nil"/>
              <w:bottom w:val="nil"/>
              <w:right w:val="nil"/>
            </w:tcBorders>
          </w:tcPr>
          <w:p w14:paraId="03297627" w14:textId="77777777" w:rsidR="00510CAB" w:rsidRPr="00AE36EC" w:rsidRDefault="00510CAB" w:rsidP="00510CAB">
            <w:pPr>
              <w:pStyle w:val="DataField11pt-Single"/>
              <w:spacing w:after="80" w:line="280" w:lineRule="atLeast"/>
            </w:pPr>
            <w:r w:rsidRPr="00AE36EC">
              <w:t>New Investigator Travel Award for ATVB Scientific Sessions</w:t>
            </w:r>
          </w:p>
        </w:tc>
      </w:tr>
      <w:tr w:rsidR="00510CAB" w14:paraId="471075CC" w14:textId="77777777" w:rsidTr="00510CAB">
        <w:trPr>
          <w:trHeight w:val="278"/>
        </w:trPr>
        <w:tc>
          <w:tcPr>
            <w:tcW w:w="2166" w:type="dxa"/>
            <w:tcBorders>
              <w:top w:val="nil"/>
              <w:left w:val="nil"/>
              <w:bottom w:val="nil"/>
              <w:right w:val="nil"/>
            </w:tcBorders>
          </w:tcPr>
          <w:p w14:paraId="5110690F" w14:textId="77777777" w:rsidR="00510CAB" w:rsidRPr="00AE36EC" w:rsidRDefault="00510CAB" w:rsidP="00510CAB">
            <w:pPr>
              <w:pStyle w:val="DataField11pt-Single"/>
              <w:spacing w:after="80" w:line="280" w:lineRule="atLeast"/>
            </w:pPr>
            <w:r w:rsidRPr="00AE36EC">
              <w:t>2004</w:t>
            </w:r>
          </w:p>
        </w:tc>
        <w:tc>
          <w:tcPr>
            <w:tcW w:w="8634" w:type="dxa"/>
            <w:gridSpan w:val="5"/>
            <w:tcBorders>
              <w:top w:val="nil"/>
              <w:left w:val="nil"/>
              <w:bottom w:val="nil"/>
              <w:right w:val="nil"/>
            </w:tcBorders>
          </w:tcPr>
          <w:p w14:paraId="7D9B3A17" w14:textId="77777777" w:rsidR="00510CAB" w:rsidRPr="00AE36EC" w:rsidRDefault="00510CAB" w:rsidP="00510CAB">
            <w:pPr>
              <w:spacing w:after="80"/>
              <w:rPr>
                <w:rFonts w:ascii="Arial" w:eastAsia="Times New Roman" w:hAnsi="Arial" w:cs="Arial"/>
                <w:szCs w:val="20"/>
              </w:rPr>
            </w:pPr>
            <w:r w:rsidRPr="00AE36EC">
              <w:rPr>
                <w:rFonts w:ascii="Arial" w:eastAsia="Times New Roman" w:hAnsi="Arial" w:cs="Arial"/>
                <w:szCs w:val="20"/>
              </w:rPr>
              <w:t>Outstanding Poster Award for Gordon Research Conference on Lipoprotein Metabolism</w:t>
            </w:r>
          </w:p>
        </w:tc>
      </w:tr>
      <w:tr w:rsidR="00510CAB" w14:paraId="69BFA63A" w14:textId="77777777" w:rsidTr="00510CAB">
        <w:trPr>
          <w:trHeight w:val="278"/>
        </w:trPr>
        <w:tc>
          <w:tcPr>
            <w:tcW w:w="2166" w:type="dxa"/>
            <w:tcBorders>
              <w:top w:val="nil"/>
              <w:left w:val="nil"/>
              <w:bottom w:val="nil"/>
              <w:right w:val="nil"/>
            </w:tcBorders>
          </w:tcPr>
          <w:p w14:paraId="5D83ED3F" w14:textId="77777777" w:rsidR="00510CAB" w:rsidRPr="00AE36EC" w:rsidRDefault="00510CAB" w:rsidP="00510CAB">
            <w:pPr>
              <w:pStyle w:val="DataField11pt-Single"/>
              <w:spacing w:after="80" w:line="280" w:lineRule="atLeast"/>
            </w:pPr>
            <w:r w:rsidRPr="00AE36EC">
              <w:t>2013-2014</w:t>
            </w:r>
          </w:p>
        </w:tc>
        <w:tc>
          <w:tcPr>
            <w:tcW w:w="8634" w:type="dxa"/>
            <w:gridSpan w:val="5"/>
            <w:tcBorders>
              <w:top w:val="nil"/>
              <w:left w:val="nil"/>
              <w:bottom w:val="nil"/>
              <w:right w:val="nil"/>
            </w:tcBorders>
          </w:tcPr>
          <w:p w14:paraId="2931776F" w14:textId="77777777" w:rsidR="00510CAB" w:rsidRPr="00AE36EC" w:rsidRDefault="00510CAB" w:rsidP="00510CAB">
            <w:pPr>
              <w:spacing w:after="80"/>
              <w:rPr>
                <w:rFonts w:ascii="Arial" w:eastAsia="Times New Roman" w:hAnsi="Arial" w:cs="Arial"/>
                <w:szCs w:val="20"/>
              </w:rPr>
            </w:pPr>
            <w:r w:rsidRPr="00AE36EC">
              <w:rPr>
                <w:rFonts w:ascii="Arial" w:eastAsia="Times New Roman" w:hAnsi="Arial" w:cs="Arial"/>
                <w:szCs w:val="20"/>
              </w:rPr>
              <w:t>American Heart Association Lipids Basic Science 2 Peer Review Study Group</w:t>
            </w:r>
          </w:p>
        </w:tc>
      </w:tr>
      <w:tr w:rsidR="00510CAB" w14:paraId="3443D1AC" w14:textId="77777777" w:rsidTr="00510CAB">
        <w:trPr>
          <w:trHeight w:val="278"/>
        </w:trPr>
        <w:tc>
          <w:tcPr>
            <w:tcW w:w="2166" w:type="dxa"/>
            <w:tcBorders>
              <w:top w:val="nil"/>
              <w:left w:val="nil"/>
              <w:bottom w:val="nil"/>
              <w:right w:val="nil"/>
            </w:tcBorders>
          </w:tcPr>
          <w:p w14:paraId="7858F527" w14:textId="1763DBD2" w:rsidR="00510CAB" w:rsidRPr="00AE36EC" w:rsidRDefault="00510CAB" w:rsidP="00510CAB">
            <w:pPr>
              <w:pStyle w:val="DataField11pt-Single"/>
              <w:spacing w:after="80" w:line="280" w:lineRule="atLeast"/>
            </w:pPr>
            <w:r>
              <w:t>2014-2015</w:t>
            </w:r>
          </w:p>
        </w:tc>
        <w:tc>
          <w:tcPr>
            <w:tcW w:w="8634" w:type="dxa"/>
            <w:gridSpan w:val="5"/>
            <w:tcBorders>
              <w:top w:val="nil"/>
              <w:left w:val="nil"/>
              <w:bottom w:val="nil"/>
              <w:right w:val="nil"/>
            </w:tcBorders>
          </w:tcPr>
          <w:p w14:paraId="07C1E390" w14:textId="77777777" w:rsidR="00510CAB" w:rsidRPr="00AE36EC" w:rsidRDefault="00510CAB" w:rsidP="00510CAB">
            <w:pPr>
              <w:spacing w:after="80"/>
              <w:rPr>
                <w:rFonts w:ascii="Arial" w:eastAsia="Times New Roman" w:hAnsi="Arial" w:cs="Arial"/>
                <w:szCs w:val="20"/>
              </w:rPr>
            </w:pPr>
            <w:r w:rsidRPr="00AE36EC">
              <w:rPr>
                <w:rFonts w:ascii="Arial" w:eastAsia="Times New Roman" w:hAnsi="Arial" w:cs="Arial"/>
                <w:szCs w:val="20"/>
              </w:rPr>
              <w:t>American Heart Association Lipids Basic Science 1 Peer Review Study Group</w:t>
            </w:r>
          </w:p>
        </w:tc>
      </w:tr>
      <w:tr w:rsidR="00510CAB" w14:paraId="761A5170" w14:textId="77777777" w:rsidTr="00510CAB">
        <w:trPr>
          <w:trHeight w:val="674"/>
        </w:trPr>
        <w:tc>
          <w:tcPr>
            <w:tcW w:w="2166" w:type="dxa"/>
            <w:tcBorders>
              <w:top w:val="nil"/>
              <w:left w:val="nil"/>
              <w:bottom w:val="nil"/>
              <w:right w:val="nil"/>
            </w:tcBorders>
          </w:tcPr>
          <w:p w14:paraId="35A1C0D8" w14:textId="29C7BE1F" w:rsidR="00510CAB" w:rsidRPr="00AE36EC" w:rsidRDefault="00510CAB" w:rsidP="00510CAB">
            <w:pPr>
              <w:pStyle w:val="DataField11pt-Single"/>
              <w:spacing w:after="80" w:line="280" w:lineRule="atLeast"/>
            </w:pPr>
            <w:r>
              <w:t>2015, October &amp; 2016, February</w:t>
            </w:r>
          </w:p>
        </w:tc>
        <w:tc>
          <w:tcPr>
            <w:tcW w:w="8634" w:type="dxa"/>
            <w:gridSpan w:val="5"/>
            <w:tcBorders>
              <w:top w:val="nil"/>
              <w:left w:val="nil"/>
              <w:bottom w:val="nil"/>
              <w:right w:val="nil"/>
            </w:tcBorders>
          </w:tcPr>
          <w:p w14:paraId="0C44F225" w14:textId="2978C52B" w:rsidR="00510CAB" w:rsidRDefault="00510CAB" w:rsidP="00510CAB">
            <w:pPr>
              <w:spacing w:after="80"/>
              <w:rPr>
                <w:rFonts w:ascii="Arial" w:eastAsia="Times New Roman" w:hAnsi="Arial" w:cs="Arial"/>
                <w:szCs w:val="20"/>
              </w:rPr>
            </w:pPr>
            <w:r>
              <w:rPr>
                <w:rFonts w:ascii="Arial" w:eastAsia="Times New Roman" w:hAnsi="Arial" w:cs="Arial"/>
                <w:szCs w:val="20"/>
              </w:rPr>
              <w:t xml:space="preserve">NIH </w:t>
            </w:r>
            <w:r w:rsidRPr="00373881">
              <w:rPr>
                <w:rFonts w:ascii="Arial" w:eastAsia="Times New Roman" w:hAnsi="Arial" w:cs="Arial"/>
                <w:szCs w:val="20"/>
              </w:rPr>
              <w:t>INMP Study Section</w:t>
            </w:r>
            <w:r>
              <w:rPr>
                <w:rFonts w:ascii="Arial" w:eastAsia="Times New Roman" w:hAnsi="Arial" w:cs="Arial"/>
                <w:szCs w:val="20"/>
              </w:rPr>
              <w:t xml:space="preserve">, </w:t>
            </w:r>
            <w:r w:rsidRPr="008F23A5">
              <w:rPr>
                <w:rFonts w:ascii="Arial" w:eastAsia="Times New Roman" w:hAnsi="Arial" w:cs="Arial"/>
                <w:szCs w:val="20"/>
              </w:rPr>
              <w:t>Temporary Member</w:t>
            </w:r>
          </w:p>
          <w:p w14:paraId="196FEE6B" w14:textId="6ED585EC" w:rsidR="00510CAB" w:rsidRPr="00AE36EC" w:rsidRDefault="00510CAB" w:rsidP="00510CAB">
            <w:pPr>
              <w:spacing w:after="80"/>
              <w:rPr>
                <w:rFonts w:ascii="Arial" w:eastAsia="Times New Roman" w:hAnsi="Arial" w:cs="Arial"/>
                <w:szCs w:val="20"/>
              </w:rPr>
            </w:pPr>
          </w:p>
        </w:tc>
      </w:tr>
      <w:tr w:rsidR="00510CAB" w14:paraId="7686E1D5" w14:textId="77777777" w:rsidTr="00510CAB">
        <w:trPr>
          <w:trHeight w:val="278"/>
        </w:trPr>
        <w:tc>
          <w:tcPr>
            <w:tcW w:w="2166" w:type="dxa"/>
            <w:tcBorders>
              <w:top w:val="nil"/>
              <w:left w:val="nil"/>
              <w:bottom w:val="nil"/>
              <w:right w:val="nil"/>
            </w:tcBorders>
          </w:tcPr>
          <w:p w14:paraId="23C36F9A" w14:textId="7B6EB710" w:rsidR="00510CAB" w:rsidRDefault="00510CAB" w:rsidP="00510CAB">
            <w:pPr>
              <w:pStyle w:val="DataField11pt-Single"/>
              <w:spacing w:after="80" w:line="280" w:lineRule="atLeast"/>
            </w:pPr>
            <w:r>
              <w:t>2016 October -Present</w:t>
            </w:r>
          </w:p>
        </w:tc>
        <w:tc>
          <w:tcPr>
            <w:tcW w:w="8634" w:type="dxa"/>
            <w:gridSpan w:val="5"/>
            <w:tcBorders>
              <w:top w:val="nil"/>
              <w:left w:val="nil"/>
              <w:bottom w:val="nil"/>
              <w:right w:val="nil"/>
            </w:tcBorders>
          </w:tcPr>
          <w:p w14:paraId="1B9D2450" w14:textId="40BD8F07" w:rsidR="00510CAB" w:rsidRPr="00373881" w:rsidRDefault="00510CAB" w:rsidP="00510CAB">
            <w:pPr>
              <w:spacing w:after="80"/>
              <w:rPr>
                <w:rFonts w:ascii="Arial" w:eastAsia="Times New Roman" w:hAnsi="Arial" w:cs="Arial"/>
                <w:szCs w:val="20"/>
              </w:rPr>
            </w:pPr>
            <w:r>
              <w:rPr>
                <w:rFonts w:ascii="Arial" w:eastAsia="Times New Roman" w:hAnsi="Arial" w:cs="Arial"/>
                <w:szCs w:val="20"/>
              </w:rPr>
              <w:t xml:space="preserve">NIH INMP Study Section, Standing Member </w:t>
            </w:r>
          </w:p>
        </w:tc>
      </w:tr>
    </w:tbl>
    <w:p w14:paraId="28CF7C77" w14:textId="77777777" w:rsidR="00AA184B" w:rsidRPr="00AA184B" w:rsidRDefault="00AA184B" w:rsidP="00AA184B">
      <w:pPr>
        <w:pStyle w:val="ListParagraph"/>
        <w:keepNext/>
        <w:numPr>
          <w:ilvl w:val="0"/>
          <w:numId w:val="1"/>
        </w:numPr>
        <w:autoSpaceDE w:val="0"/>
        <w:autoSpaceDN w:val="0"/>
        <w:spacing w:before="480" w:after="120"/>
        <w:outlineLvl w:val="0"/>
        <w:rPr>
          <w:rFonts w:ascii="Arial" w:eastAsia="Times New Roman" w:hAnsi="Arial" w:cs="Times New Roman"/>
          <w:b/>
          <w:sz w:val="22"/>
          <w:szCs w:val="22"/>
        </w:rPr>
      </w:pPr>
      <w:r>
        <w:rPr>
          <w:rFonts w:ascii="Arial" w:eastAsia="Times New Roman" w:hAnsi="Arial" w:cs="Times New Roman"/>
          <w:b/>
          <w:sz w:val="22"/>
          <w:szCs w:val="22"/>
        </w:rPr>
        <w:t>Contribution to Science</w:t>
      </w:r>
    </w:p>
    <w:p w14:paraId="5167B22B" w14:textId="43C2FD00" w:rsidR="002179F8" w:rsidRPr="003F704B" w:rsidRDefault="003B1FB2" w:rsidP="002179F8">
      <w:pPr>
        <w:spacing w:after="0"/>
        <w:rPr>
          <w:rFonts w:ascii="Arial" w:hAnsi="Arial"/>
          <w:i/>
        </w:rPr>
      </w:pPr>
      <w:r w:rsidRPr="003F704B">
        <w:rPr>
          <w:rFonts w:ascii="Arial" w:hAnsi="Arial"/>
          <w:i/>
        </w:rPr>
        <w:t xml:space="preserve">Use of nonhuman primates to study targets and therapies for </w:t>
      </w:r>
      <w:r w:rsidR="00A271AB">
        <w:rPr>
          <w:rFonts w:ascii="Arial" w:hAnsi="Arial"/>
          <w:i/>
        </w:rPr>
        <w:t xml:space="preserve">metabolic and </w:t>
      </w:r>
      <w:r w:rsidRPr="003F704B">
        <w:rPr>
          <w:rFonts w:ascii="Arial" w:hAnsi="Arial"/>
          <w:i/>
        </w:rPr>
        <w:t>cardiovascular disease</w:t>
      </w:r>
    </w:p>
    <w:p w14:paraId="0A33181A" w14:textId="6CB148D9" w:rsidR="003F704B" w:rsidRPr="001263C6" w:rsidRDefault="00E17A14" w:rsidP="00E17A14">
      <w:pPr>
        <w:spacing w:after="0"/>
        <w:jc w:val="both"/>
        <w:rPr>
          <w:rFonts w:ascii="Arial" w:hAnsi="Arial"/>
        </w:rPr>
      </w:pPr>
      <w:r>
        <w:rPr>
          <w:rFonts w:ascii="Arial" w:hAnsi="Arial"/>
        </w:rPr>
        <w:t xml:space="preserve">Over the last decade, our lab has used NHP models </w:t>
      </w:r>
      <w:r w:rsidR="002179F8" w:rsidRPr="003F704B">
        <w:rPr>
          <w:rFonts w:ascii="Arial" w:hAnsi="Arial"/>
        </w:rPr>
        <w:t>to bridge the translational gap between mice an</w:t>
      </w:r>
      <w:r w:rsidR="001824C0" w:rsidRPr="003F704B">
        <w:rPr>
          <w:rFonts w:ascii="Arial" w:hAnsi="Arial"/>
        </w:rPr>
        <w:t xml:space="preserve">d </w:t>
      </w:r>
      <w:r>
        <w:rPr>
          <w:rFonts w:ascii="Arial" w:hAnsi="Arial"/>
        </w:rPr>
        <w:t>humans</w:t>
      </w:r>
      <w:r w:rsidR="002179F8" w:rsidRPr="003F704B">
        <w:rPr>
          <w:rFonts w:ascii="Arial" w:hAnsi="Arial"/>
        </w:rPr>
        <w:t xml:space="preserve">. </w:t>
      </w:r>
      <w:r w:rsidR="00C01045">
        <w:rPr>
          <w:rFonts w:ascii="Arial" w:hAnsi="Arial"/>
        </w:rPr>
        <w:t xml:space="preserve"> Although admittedly not the per</w:t>
      </w:r>
      <w:r w:rsidR="002179F8" w:rsidRPr="003F704B">
        <w:rPr>
          <w:rFonts w:ascii="Arial" w:hAnsi="Arial"/>
        </w:rPr>
        <w:t xml:space="preserve">fect model for studying </w:t>
      </w:r>
      <w:r w:rsidR="00471EDF">
        <w:rPr>
          <w:rFonts w:ascii="Arial" w:hAnsi="Arial"/>
        </w:rPr>
        <w:t>metabolic and cardiovascular disease</w:t>
      </w:r>
      <w:r w:rsidR="002179F8" w:rsidRPr="003F704B">
        <w:rPr>
          <w:rFonts w:ascii="Arial" w:hAnsi="Arial"/>
        </w:rPr>
        <w:t xml:space="preserve">, NHPs do have the advantage of their genome and physiology being closest </w:t>
      </w:r>
      <w:r w:rsidR="00FD5AB3" w:rsidRPr="003F704B">
        <w:rPr>
          <w:rFonts w:ascii="Arial" w:hAnsi="Arial"/>
        </w:rPr>
        <w:t xml:space="preserve">to that </w:t>
      </w:r>
      <w:r w:rsidR="003F704B">
        <w:rPr>
          <w:rFonts w:ascii="Arial" w:hAnsi="Arial"/>
        </w:rPr>
        <w:t>of hu</w:t>
      </w:r>
      <w:r w:rsidR="00FD5AB3" w:rsidRPr="003F704B">
        <w:rPr>
          <w:rFonts w:ascii="Arial" w:hAnsi="Arial"/>
        </w:rPr>
        <w:t>man</w:t>
      </w:r>
      <w:r w:rsidR="003F704B">
        <w:rPr>
          <w:rFonts w:ascii="Arial" w:hAnsi="Arial"/>
        </w:rPr>
        <w:t>s</w:t>
      </w:r>
      <w:r w:rsidR="002179F8" w:rsidRPr="003F704B">
        <w:rPr>
          <w:rFonts w:ascii="Arial" w:hAnsi="Arial"/>
        </w:rPr>
        <w:t>.</w:t>
      </w:r>
      <w:r w:rsidR="00FD5AB3" w:rsidRPr="003F704B">
        <w:rPr>
          <w:rFonts w:ascii="Arial" w:hAnsi="Arial"/>
        </w:rPr>
        <w:t xml:space="preserve">  For instance, NHPs and humans but not mice develop atherosclerosis in the coronary and intracranial arteries.  </w:t>
      </w:r>
      <w:r w:rsidR="002179F8" w:rsidRPr="003F704B">
        <w:rPr>
          <w:rFonts w:ascii="Arial" w:hAnsi="Arial"/>
        </w:rPr>
        <w:t>Because of the financial and ethical issues surrounding their use, NHPs</w:t>
      </w:r>
      <w:r w:rsidR="001824C0" w:rsidRPr="003F704B">
        <w:rPr>
          <w:rFonts w:ascii="Arial" w:hAnsi="Arial"/>
        </w:rPr>
        <w:t xml:space="preserve"> are employed</w:t>
      </w:r>
      <w:r w:rsidR="00F264B6" w:rsidRPr="003F704B">
        <w:rPr>
          <w:rFonts w:ascii="Arial" w:hAnsi="Arial"/>
        </w:rPr>
        <w:t xml:space="preserve"> by my lab for </w:t>
      </w:r>
      <w:r w:rsidR="00FD5AB3" w:rsidRPr="003F704B">
        <w:rPr>
          <w:rFonts w:ascii="Arial" w:hAnsi="Arial"/>
        </w:rPr>
        <w:t xml:space="preserve">studies </w:t>
      </w:r>
      <w:r w:rsidR="002179F8" w:rsidRPr="003F704B">
        <w:rPr>
          <w:rFonts w:ascii="Arial" w:hAnsi="Arial"/>
        </w:rPr>
        <w:t>with high translational potential</w:t>
      </w:r>
      <w:r w:rsidR="00F264B6" w:rsidRPr="003F704B">
        <w:rPr>
          <w:rFonts w:ascii="Arial" w:hAnsi="Arial"/>
        </w:rPr>
        <w:t xml:space="preserve"> or focus on specific factors or pathways that are primate-specific</w:t>
      </w:r>
      <w:r w:rsidR="00FD5AB3" w:rsidRPr="003F704B">
        <w:rPr>
          <w:rFonts w:ascii="Arial" w:hAnsi="Arial"/>
        </w:rPr>
        <w:t>.</w:t>
      </w:r>
      <w:r w:rsidR="001824C0" w:rsidRPr="003F704B">
        <w:rPr>
          <w:rFonts w:ascii="Arial" w:hAnsi="Arial"/>
        </w:rPr>
        <w:t xml:space="preserve">  In addition, our lab has been proactive in distributing rare </w:t>
      </w:r>
      <w:r w:rsidR="003F704B">
        <w:rPr>
          <w:rFonts w:ascii="Arial" w:hAnsi="Arial"/>
        </w:rPr>
        <w:t>and expensive</w:t>
      </w:r>
      <w:r w:rsidR="001824C0" w:rsidRPr="003F704B">
        <w:rPr>
          <w:rFonts w:ascii="Arial" w:hAnsi="Arial"/>
        </w:rPr>
        <w:t xml:space="preserve"> NHPs</w:t>
      </w:r>
      <w:r>
        <w:rPr>
          <w:rFonts w:ascii="Arial" w:hAnsi="Arial"/>
        </w:rPr>
        <w:t xml:space="preserve"> samples</w:t>
      </w:r>
      <w:r w:rsidR="001824C0" w:rsidRPr="003F704B">
        <w:rPr>
          <w:rFonts w:ascii="Arial" w:hAnsi="Arial"/>
        </w:rPr>
        <w:t xml:space="preserve"> to labs around the country.  </w:t>
      </w:r>
      <w:r w:rsidR="002179F8" w:rsidRPr="003F704B">
        <w:rPr>
          <w:rFonts w:ascii="Arial" w:hAnsi="Arial"/>
        </w:rPr>
        <w:t>Because of the very limited number of academic inve</w:t>
      </w:r>
      <w:r w:rsidR="00FD5AB3" w:rsidRPr="003F704B">
        <w:rPr>
          <w:rFonts w:ascii="Arial" w:hAnsi="Arial"/>
        </w:rPr>
        <w:t>stigators using NHP</w:t>
      </w:r>
      <w:r w:rsidR="002179F8" w:rsidRPr="003F704B">
        <w:rPr>
          <w:rFonts w:ascii="Arial" w:hAnsi="Arial"/>
        </w:rPr>
        <w:t>s, my lab has created a unique nich</w:t>
      </w:r>
      <w:r w:rsidR="00471EDF">
        <w:rPr>
          <w:rFonts w:ascii="Arial" w:hAnsi="Arial"/>
        </w:rPr>
        <w:t>e within the metabolic and cardiovascular</w:t>
      </w:r>
      <w:r w:rsidR="002179F8" w:rsidRPr="003F704B">
        <w:rPr>
          <w:rFonts w:ascii="Arial" w:hAnsi="Arial"/>
        </w:rPr>
        <w:t xml:space="preserve"> research community.  Our experience and</w:t>
      </w:r>
      <w:r w:rsidR="00FD5AB3" w:rsidRPr="003F704B">
        <w:rPr>
          <w:rFonts w:ascii="Arial" w:hAnsi="Arial"/>
        </w:rPr>
        <w:t xml:space="preserve"> expertise with NHPs</w:t>
      </w:r>
      <w:r w:rsidR="002179F8" w:rsidRPr="003F704B">
        <w:rPr>
          <w:rFonts w:ascii="Arial" w:hAnsi="Arial"/>
        </w:rPr>
        <w:t xml:space="preserve"> </w:t>
      </w:r>
      <w:r w:rsidR="001824C0" w:rsidRPr="003F704B">
        <w:rPr>
          <w:rFonts w:ascii="Arial" w:hAnsi="Arial"/>
        </w:rPr>
        <w:t xml:space="preserve">and access to unique NHP </w:t>
      </w:r>
      <w:r w:rsidR="001824C0" w:rsidRPr="003F704B">
        <w:rPr>
          <w:rFonts w:ascii="Arial" w:hAnsi="Arial"/>
        </w:rPr>
        <w:lastRenderedPageBreak/>
        <w:t xml:space="preserve">samples </w:t>
      </w:r>
      <w:r w:rsidR="002179F8" w:rsidRPr="003F704B">
        <w:rPr>
          <w:rFonts w:ascii="Arial" w:hAnsi="Arial"/>
        </w:rPr>
        <w:t>has resulted in collaborations with so</w:t>
      </w:r>
      <w:r w:rsidR="003F704B">
        <w:rPr>
          <w:rFonts w:ascii="Arial" w:hAnsi="Arial"/>
        </w:rPr>
        <w:t xml:space="preserve">me of the top researchers in </w:t>
      </w:r>
      <w:r>
        <w:rPr>
          <w:rFonts w:ascii="Arial" w:hAnsi="Arial"/>
        </w:rPr>
        <w:t>our field</w:t>
      </w:r>
      <w:r w:rsidR="00400A92">
        <w:rPr>
          <w:rFonts w:ascii="Arial" w:hAnsi="Arial"/>
        </w:rPr>
        <w:t xml:space="preserve"> resulting in 13</w:t>
      </w:r>
      <w:bookmarkStart w:id="0" w:name="_GoBack"/>
      <w:bookmarkEnd w:id="0"/>
      <w:r w:rsidR="001824C0" w:rsidRPr="003F704B">
        <w:rPr>
          <w:rFonts w:ascii="Arial" w:hAnsi="Arial"/>
        </w:rPr>
        <w:t xml:space="preserve"> </w:t>
      </w:r>
      <w:r w:rsidR="003F704B">
        <w:rPr>
          <w:rFonts w:ascii="Arial" w:hAnsi="Arial"/>
        </w:rPr>
        <w:t>peer-reviewed publications, many</w:t>
      </w:r>
      <w:r>
        <w:rPr>
          <w:rFonts w:ascii="Arial" w:hAnsi="Arial"/>
        </w:rPr>
        <w:t xml:space="preserve"> of which are</w:t>
      </w:r>
      <w:r w:rsidR="001824C0" w:rsidRPr="003F704B">
        <w:rPr>
          <w:rFonts w:ascii="Arial" w:hAnsi="Arial"/>
        </w:rPr>
        <w:t xml:space="preserve"> in</w:t>
      </w:r>
      <w:r w:rsidR="002179F8" w:rsidRPr="003F704B">
        <w:rPr>
          <w:rFonts w:ascii="Arial" w:hAnsi="Arial"/>
        </w:rPr>
        <w:t xml:space="preserve"> </w:t>
      </w:r>
      <w:r w:rsidR="001824C0" w:rsidRPr="003F704B">
        <w:rPr>
          <w:rFonts w:ascii="Arial" w:hAnsi="Arial"/>
        </w:rPr>
        <w:t xml:space="preserve">high-impact </w:t>
      </w:r>
      <w:r w:rsidR="002179F8" w:rsidRPr="003F704B">
        <w:rPr>
          <w:rFonts w:ascii="Arial" w:hAnsi="Arial"/>
        </w:rPr>
        <w:t>journals</w:t>
      </w:r>
      <w:r w:rsidR="001824C0" w:rsidRPr="003F704B">
        <w:rPr>
          <w:rFonts w:ascii="Arial" w:hAnsi="Arial"/>
        </w:rPr>
        <w:t>.</w:t>
      </w:r>
      <w:r w:rsidR="001824C0" w:rsidRPr="001263C6">
        <w:rPr>
          <w:rFonts w:ascii="Arial" w:hAnsi="Arial"/>
        </w:rPr>
        <w:t xml:space="preserve">  </w:t>
      </w:r>
      <w:r w:rsidR="002179F8" w:rsidRPr="001263C6">
        <w:rPr>
          <w:rFonts w:ascii="Arial" w:hAnsi="Arial"/>
        </w:rPr>
        <w:t xml:space="preserve">  </w:t>
      </w:r>
    </w:p>
    <w:p w14:paraId="19F3078F" w14:textId="77777777" w:rsidR="003F704B" w:rsidRPr="00667F84" w:rsidRDefault="003F704B" w:rsidP="003F704B">
      <w:pPr>
        <w:pStyle w:val="ListParagraph"/>
        <w:numPr>
          <w:ilvl w:val="0"/>
          <w:numId w:val="14"/>
        </w:numPr>
        <w:ind w:left="270" w:hanging="270"/>
        <w:rPr>
          <w:rFonts w:ascii="Arial" w:hAnsi="Arial"/>
          <w:b/>
          <w:sz w:val="22"/>
          <w:szCs w:val="22"/>
        </w:rPr>
      </w:pPr>
      <w:r w:rsidRPr="001263C6">
        <w:rPr>
          <w:rFonts w:ascii="Arial" w:hAnsi="Arial"/>
          <w:sz w:val="22"/>
          <w:szCs w:val="22"/>
        </w:rPr>
        <w:t xml:space="preserve">Inhibition of miR-33a/b in non-human primates raises plasma HDL and lowers VLDL triglycerides. Rayner </w:t>
      </w:r>
      <w:r w:rsidRPr="003F704B">
        <w:rPr>
          <w:rFonts w:ascii="Arial" w:hAnsi="Arial"/>
          <w:sz w:val="22"/>
          <w:szCs w:val="22"/>
        </w:rPr>
        <w:t xml:space="preserve">KJ, Esau CC, Hussain FN, McDaniel AL, Marshall SM, van Gils JM, Ray TD, Sheedy FJ, </w:t>
      </w:r>
      <w:proofErr w:type="spellStart"/>
      <w:r w:rsidRPr="003F704B">
        <w:rPr>
          <w:rFonts w:ascii="Arial" w:hAnsi="Arial"/>
          <w:sz w:val="22"/>
          <w:szCs w:val="22"/>
        </w:rPr>
        <w:t>Goedeke</w:t>
      </w:r>
      <w:proofErr w:type="spellEnd"/>
      <w:r w:rsidRPr="003F704B">
        <w:rPr>
          <w:rFonts w:ascii="Arial" w:hAnsi="Arial"/>
          <w:sz w:val="22"/>
          <w:szCs w:val="22"/>
        </w:rPr>
        <w:t xml:space="preserve"> L, Liu X, </w:t>
      </w:r>
      <w:proofErr w:type="spellStart"/>
      <w:r w:rsidRPr="003F704B">
        <w:rPr>
          <w:rFonts w:ascii="Arial" w:hAnsi="Arial"/>
          <w:sz w:val="22"/>
          <w:szCs w:val="22"/>
        </w:rPr>
        <w:t>Khatsenko</w:t>
      </w:r>
      <w:proofErr w:type="spellEnd"/>
      <w:r w:rsidRPr="003F704B">
        <w:rPr>
          <w:rFonts w:ascii="Arial" w:hAnsi="Arial"/>
          <w:sz w:val="22"/>
          <w:szCs w:val="22"/>
        </w:rPr>
        <w:t xml:space="preserve"> OG, </w:t>
      </w:r>
      <w:proofErr w:type="spellStart"/>
      <w:r w:rsidRPr="003F704B">
        <w:rPr>
          <w:rFonts w:ascii="Arial" w:hAnsi="Arial"/>
          <w:sz w:val="22"/>
          <w:szCs w:val="22"/>
        </w:rPr>
        <w:t>Kaimal</w:t>
      </w:r>
      <w:proofErr w:type="spellEnd"/>
      <w:r w:rsidRPr="003F704B">
        <w:rPr>
          <w:rFonts w:ascii="Arial" w:hAnsi="Arial"/>
          <w:sz w:val="22"/>
          <w:szCs w:val="22"/>
        </w:rPr>
        <w:t xml:space="preserve"> V, Lees CJ, Fernandez-Hernando C, Fisher EA, </w:t>
      </w:r>
      <w:r w:rsidRPr="003F704B">
        <w:rPr>
          <w:rFonts w:ascii="Arial" w:hAnsi="Arial"/>
          <w:b/>
          <w:sz w:val="22"/>
          <w:szCs w:val="22"/>
        </w:rPr>
        <w:t>Temel RE*</w:t>
      </w:r>
      <w:r w:rsidRPr="003F704B">
        <w:rPr>
          <w:rFonts w:ascii="Arial" w:hAnsi="Arial"/>
          <w:sz w:val="22"/>
          <w:szCs w:val="22"/>
        </w:rPr>
        <w:t>, Moore KJ. Nature. 2011</w:t>
      </w:r>
      <w:proofErr w:type="gramStart"/>
      <w:r w:rsidRPr="003F704B">
        <w:rPr>
          <w:rFonts w:ascii="Arial" w:hAnsi="Arial"/>
          <w:sz w:val="22"/>
          <w:szCs w:val="22"/>
        </w:rPr>
        <w:t>;478:404</w:t>
      </w:r>
      <w:proofErr w:type="gramEnd"/>
      <w:r w:rsidRPr="003F704B">
        <w:rPr>
          <w:rFonts w:ascii="Arial" w:hAnsi="Arial"/>
          <w:sz w:val="22"/>
          <w:szCs w:val="22"/>
        </w:rPr>
        <w:t xml:space="preserve">-7. PMCID: PMC3235584 </w:t>
      </w:r>
      <w:r w:rsidRPr="00667F84">
        <w:rPr>
          <w:rFonts w:ascii="Arial" w:hAnsi="Arial"/>
          <w:b/>
          <w:sz w:val="22"/>
          <w:szCs w:val="22"/>
        </w:rPr>
        <w:t>(* equal contribution to study)</w:t>
      </w:r>
    </w:p>
    <w:p w14:paraId="7188544D" w14:textId="1DB2D24E" w:rsidR="003F704B" w:rsidRPr="003F704B" w:rsidRDefault="003F704B" w:rsidP="003F704B">
      <w:pPr>
        <w:pStyle w:val="ListParagraph"/>
        <w:numPr>
          <w:ilvl w:val="0"/>
          <w:numId w:val="14"/>
        </w:numPr>
        <w:ind w:left="270" w:hanging="270"/>
        <w:rPr>
          <w:rFonts w:ascii="Arial" w:hAnsi="Arial"/>
          <w:sz w:val="22"/>
          <w:szCs w:val="22"/>
        </w:rPr>
      </w:pPr>
      <w:r w:rsidRPr="003F704B">
        <w:rPr>
          <w:rFonts w:ascii="Arial" w:hAnsi="Arial"/>
          <w:sz w:val="22"/>
          <w:szCs w:val="22"/>
        </w:rPr>
        <w:t xml:space="preserve">Monocyte tissue factor-dependent activation of coagulation in hypercholesterolemic mice and monkeys is inhibited by simvastatin.  Owens AP 3rd, </w:t>
      </w:r>
      <w:proofErr w:type="spellStart"/>
      <w:r w:rsidRPr="003F704B">
        <w:rPr>
          <w:rFonts w:ascii="Arial" w:hAnsi="Arial"/>
          <w:sz w:val="22"/>
          <w:szCs w:val="22"/>
        </w:rPr>
        <w:t>Passam</w:t>
      </w:r>
      <w:proofErr w:type="spellEnd"/>
      <w:r w:rsidRPr="003F704B">
        <w:rPr>
          <w:rFonts w:ascii="Arial" w:hAnsi="Arial"/>
          <w:sz w:val="22"/>
          <w:szCs w:val="22"/>
        </w:rPr>
        <w:t xml:space="preserve"> FH, </w:t>
      </w:r>
      <w:proofErr w:type="spellStart"/>
      <w:r w:rsidRPr="003F704B">
        <w:rPr>
          <w:rFonts w:ascii="Arial" w:hAnsi="Arial"/>
          <w:sz w:val="22"/>
          <w:szCs w:val="22"/>
        </w:rPr>
        <w:t>Antoniak</w:t>
      </w:r>
      <w:proofErr w:type="spellEnd"/>
      <w:r w:rsidRPr="003F704B">
        <w:rPr>
          <w:rFonts w:ascii="Arial" w:hAnsi="Arial"/>
          <w:sz w:val="22"/>
          <w:szCs w:val="22"/>
        </w:rPr>
        <w:t xml:space="preserve"> S, Marshall SM, McDaniel AL, </w:t>
      </w:r>
      <w:proofErr w:type="spellStart"/>
      <w:r w:rsidRPr="003F704B">
        <w:rPr>
          <w:rFonts w:ascii="Arial" w:hAnsi="Arial"/>
          <w:sz w:val="22"/>
          <w:szCs w:val="22"/>
        </w:rPr>
        <w:t>Rudel</w:t>
      </w:r>
      <w:proofErr w:type="spellEnd"/>
      <w:r w:rsidRPr="003F704B">
        <w:rPr>
          <w:rFonts w:ascii="Arial" w:hAnsi="Arial"/>
          <w:sz w:val="22"/>
          <w:szCs w:val="22"/>
        </w:rPr>
        <w:t xml:space="preserve"> L, Williams JC, Hubbard BK, Dutton JA, Wang J, Tobias PS, Curtiss LK, Daugherty A, </w:t>
      </w:r>
      <w:proofErr w:type="spellStart"/>
      <w:r w:rsidRPr="003F704B">
        <w:rPr>
          <w:rFonts w:ascii="Arial" w:hAnsi="Arial"/>
          <w:sz w:val="22"/>
          <w:szCs w:val="22"/>
        </w:rPr>
        <w:t>Kirchhofer</w:t>
      </w:r>
      <w:proofErr w:type="spellEnd"/>
      <w:r w:rsidRPr="003F704B">
        <w:rPr>
          <w:rFonts w:ascii="Arial" w:hAnsi="Arial"/>
          <w:sz w:val="22"/>
          <w:szCs w:val="22"/>
        </w:rPr>
        <w:t xml:space="preserve"> D, </w:t>
      </w:r>
      <w:proofErr w:type="spellStart"/>
      <w:r w:rsidRPr="003F704B">
        <w:rPr>
          <w:rFonts w:ascii="Arial" w:hAnsi="Arial"/>
          <w:sz w:val="22"/>
          <w:szCs w:val="22"/>
        </w:rPr>
        <w:t>Luyendyk</w:t>
      </w:r>
      <w:proofErr w:type="spellEnd"/>
      <w:r w:rsidRPr="003F704B">
        <w:rPr>
          <w:rFonts w:ascii="Arial" w:hAnsi="Arial"/>
          <w:sz w:val="22"/>
          <w:szCs w:val="22"/>
        </w:rPr>
        <w:t xml:space="preserve"> JP, Moriarty PM, </w:t>
      </w:r>
      <w:proofErr w:type="spellStart"/>
      <w:r w:rsidRPr="003F704B">
        <w:rPr>
          <w:rFonts w:ascii="Arial" w:hAnsi="Arial"/>
          <w:sz w:val="22"/>
          <w:szCs w:val="22"/>
        </w:rPr>
        <w:t>Nagarajan</w:t>
      </w:r>
      <w:proofErr w:type="spellEnd"/>
      <w:r w:rsidRPr="003F704B">
        <w:rPr>
          <w:rFonts w:ascii="Arial" w:hAnsi="Arial"/>
          <w:sz w:val="22"/>
          <w:szCs w:val="22"/>
        </w:rPr>
        <w:t xml:space="preserve"> S, </w:t>
      </w:r>
      <w:proofErr w:type="spellStart"/>
      <w:r w:rsidRPr="003F704B">
        <w:rPr>
          <w:rFonts w:ascii="Arial" w:hAnsi="Arial"/>
          <w:sz w:val="22"/>
          <w:szCs w:val="22"/>
        </w:rPr>
        <w:t>Furie</w:t>
      </w:r>
      <w:proofErr w:type="spellEnd"/>
      <w:r w:rsidRPr="003F704B">
        <w:rPr>
          <w:rFonts w:ascii="Arial" w:hAnsi="Arial"/>
          <w:sz w:val="22"/>
          <w:szCs w:val="22"/>
        </w:rPr>
        <w:t xml:space="preserve"> BC, </w:t>
      </w:r>
      <w:proofErr w:type="spellStart"/>
      <w:r w:rsidRPr="003F704B">
        <w:rPr>
          <w:rFonts w:ascii="Arial" w:hAnsi="Arial"/>
          <w:sz w:val="22"/>
          <w:szCs w:val="22"/>
        </w:rPr>
        <w:t>Furie</w:t>
      </w:r>
      <w:proofErr w:type="spellEnd"/>
      <w:r w:rsidRPr="003F704B">
        <w:rPr>
          <w:rFonts w:ascii="Arial" w:hAnsi="Arial"/>
          <w:sz w:val="22"/>
          <w:szCs w:val="22"/>
        </w:rPr>
        <w:t xml:space="preserve"> B, Johns DG, </w:t>
      </w:r>
      <w:r w:rsidRPr="00E17A14">
        <w:rPr>
          <w:rFonts w:ascii="Arial" w:hAnsi="Arial"/>
          <w:b/>
          <w:sz w:val="22"/>
          <w:szCs w:val="22"/>
        </w:rPr>
        <w:t>Temel RE</w:t>
      </w:r>
      <w:r w:rsidRPr="003F704B">
        <w:rPr>
          <w:rFonts w:ascii="Arial" w:hAnsi="Arial"/>
          <w:sz w:val="22"/>
          <w:szCs w:val="22"/>
        </w:rPr>
        <w:t xml:space="preserve">, </w:t>
      </w:r>
      <w:proofErr w:type="spellStart"/>
      <w:r w:rsidRPr="003F704B">
        <w:rPr>
          <w:rFonts w:ascii="Arial" w:hAnsi="Arial"/>
          <w:sz w:val="22"/>
          <w:szCs w:val="22"/>
        </w:rPr>
        <w:t>Mackman</w:t>
      </w:r>
      <w:proofErr w:type="spellEnd"/>
      <w:r w:rsidRPr="003F704B">
        <w:rPr>
          <w:rFonts w:ascii="Arial" w:hAnsi="Arial"/>
          <w:sz w:val="22"/>
          <w:szCs w:val="22"/>
        </w:rPr>
        <w:t xml:space="preserve"> N.  J </w:t>
      </w:r>
      <w:proofErr w:type="spellStart"/>
      <w:r w:rsidRPr="003F704B">
        <w:rPr>
          <w:rFonts w:ascii="Arial" w:hAnsi="Arial"/>
          <w:sz w:val="22"/>
          <w:szCs w:val="22"/>
        </w:rPr>
        <w:t>Clin</w:t>
      </w:r>
      <w:proofErr w:type="spellEnd"/>
      <w:r w:rsidRPr="003F704B">
        <w:rPr>
          <w:rFonts w:ascii="Arial" w:hAnsi="Arial"/>
          <w:sz w:val="22"/>
          <w:szCs w:val="22"/>
        </w:rPr>
        <w:t xml:space="preserve"> Invest. 20</w:t>
      </w:r>
      <w:r w:rsidR="00E17A14">
        <w:rPr>
          <w:rFonts w:ascii="Arial" w:hAnsi="Arial"/>
          <w:sz w:val="22"/>
          <w:szCs w:val="22"/>
        </w:rPr>
        <w:t>12</w:t>
      </w:r>
      <w:proofErr w:type="gramStart"/>
      <w:r w:rsidR="00E17A14">
        <w:rPr>
          <w:rFonts w:ascii="Arial" w:hAnsi="Arial"/>
          <w:sz w:val="22"/>
          <w:szCs w:val="22"/>
        </w:rPr>
        <w:t>;122:558</w:t>
      </w:r>
      <w:proofErr w:type="gramEnd"/>
      <w:r w:rsidR="00E17A14">
        <w:rPr>
          <w:rFonts w:ascii="Arial" w:hAnsi="Arial"/>
          <w:sz w:val="22"/>
          <w:szCs w:val="22"/>
        </w:rPr>
        <w:t>-68.</w:t>
      </w:r>
    </w:p>
    <w:p w14:paraId="23A788F5" w14:textId="26F5A971" w:rsidR="003F704B" w:rsidRPr="003F704B" w:rsidRDefault="003F704B" w:rsidP="003F704B">
      <w:pPr>
        <w:pStyle w:val="ListParagraph"/>
        <w:numPr>
          <w:ilvl w:val="0"/>
          <w:numId w:val="14"/>
        </w:numPr>
        <w:ind w:left="270" w:hanging="270"/>
        <w:rPr>
          <w:rFonts w:ascii="Arial" w:hAnsi="Arial"/>
          <w:sz w:val="22"/>
          <w:szCs w:val="22"/>
        </w:rPr>
      </w:pPr>
      <w:r w:rsidRPr="003F704B">
        <w:rPr>
          <w:rFonts w:ascii="Arial" w:hAnsi="Arial"/>
          <w:sz w:val="22"/>
          <w:szCs w:val="22"/>
        </w:rPr>
        <w:t xml:space="preserve">The LXR-Idol Axis Differentially Regulates Plasma LDL Levels in Primates and Mice. Hong C, Marshall SM, McDaniel AL, Graham M, Layne JD, Cai L, </w:t>
      </w:r>
      <w:proofErr w:type="spellStart"/>
      <w:r w:rsidRPr="003F704B">
        <w:rPr>
          <w:rFonts w:ascii="Arial" w:hAnsi="Arial"/>
          <w:sz w:val="22"/>
          <w:szCs w:val="22"/>
        </w:rPr>
        <w:t>Scotti</w:t>
      </w:r>
      <w:proofErr w:type="spellEnd"/>
      <w:r w:rsidRPr="003F704B">
        <w:rPr>
          <w:rFonts w:ascii="Arial" w:hAnsi="Arial"/>
          <w:sz w:val="22"/>
          <w:szCs w:val="22"/>
        </w:rPr>
        <w:t xml:space="preserve"> E, </w:t>
      </w:r>
      <w:proofErr w:type="spellStart"/>
      <w:r w:rsidRPr="003F704B">
        <w:rPr>
          <w:rFonts w:ascii="Arial" w:hAnsi="Arial"/>
          <w:sz w:val="22"/>
          <w:szCs w:val="22"/>
        </w:rPr>
        <w:t>Boyadjian</w:t>
      </w:r>
      <w:proofErr w:type="spellEnd"/>
      <w:r w:rsidRPr="003F704B">
        <w:rPr>
          <w:rFonts w:ascii="Arial" w:hAnsi="Arial"/>
          <w:sz w:val="22"/>
          <w:szCs w:val="22"/>
        </w:rPr>
        <w:t xml:space="preserve"> R, Kim J, Chamberlain BT, </w:t>
      </w:r>
      <w:proofErr w:type="spellStart"/>
      <w:r w:rsidRPr="003F704B">
        <w:rPr>
          <w:rFonts w:ascii="Arial" w:hAnsi="Arial"/>
          <w:sz w:val="22"/>
          <w:szCs w:val="22"/>
        </w:rPr>
        <w:t>Tangirala</w:t>
      </w:r>
      <w:proofErr w:type="spellEnd"/>
      <w:r w:rsidRPr="003F704B">
        <w:rPr>
          <w:rFonts w:ascii="Arial" w:hAnsi="Arial"/>
          <w:sz w:val="22"/>
          <w:szCs w:val="22"/>
        </w:rPr>
        <w:t xml:space="preserve"> RK, Jung ME, Fong L, Lee R, Young SG, </w:t>
      </w:r>
      <w:r w:rsidRPr="003F704B">
        <w:rPr>
          <w:rFonts w:ascii="Arial" w:hAnsi="Arial"/>
          <w:b/>
          <w:sz w:val="22"/>
          <w:szCs w:val="22"/>
        </w:rPr>
        <w:t>Temel RE*</w:t>
      </w:r>
      <w:r w:rsidRPr="003F704B">
        <w:rPr>
          <w:rFonts w:ascii="Arial" w:hAnsi="Arial"/>
          <w:sz w:val="22"/>
          <w:szCs w:val="22"/>
        </w:rPr>
        <w:t xml:space="preserve">, </w:t>
      </w:r>
      <w:proofErr w:type="spellStart"/>
      <w:r w:rsidRPr="003F704B">
        <w:rPr>
          <w:rFonts w:ascii="Arial" w:hAnsi="Arial"/>
          <w:sz w:val="22"/>
          <w:szCs w:val="22"/>
        </w:rPr>
        <w:t>Tontonoz</w:t>
      </w:r>
      <w:proofErr w:type="spellEnd"/>
      <w:r w:rsidRPr="003F704B">
        <w:rPr>
          <w:rFonts w:ascii="Arial" w:hAnsi="Arial"/>
          <w:sz w:val="22"/>
          <w:szCs w:val="22"/>
        </w:rPr>
        <w:t xml:space="preserve">. Cell </w:t>
      </w:r>
      <w:proofErr w:type="spellStart"/>
      <w:r w:rsidRPr="003F704B">
        <w:rPr>
          <w:rFonts w:ascii="Arial" w:hAnsi="Arial"/>
          <w:sz w:val="22"/>
          <w:szCs w:val="22"/>
        </w:rPr>
        <w:t>Metab</w:t>
      </w:r>
      <w:proofErr w:type="spellEnd"/>
      <w:r w:rsidRPr="003F704B">
        <w:rPr>
          <w:rFonts w:ascii="Arial" w:hAnsi="Arial"/>
          <w:sz w:val="22"/>
          <w:szCs w:val="22"/>
        </w:rPr>
        <w:t>. 20</w:t>
      </w:r>
      <w:r w:rsidR="00E17A14">
        <w:rPr>
          <w:rFonts w:ascii="Arial" w:hAnsi="Arial"/>
          <w:sz w:val="22"/>
          <w:szCs w:val="22"/>
        </w:rPr>
        <w:t>14</w:t>
      </w:r>
      <w:proofErr w:type="gramStart"/>
      <w:r w:rsidR="00E17A14">
        <w:rPr>
          <w:rFonts w:ascii="Arial" w:hAnsi="Arial"/>
          <w:sz w:val="22"/>
          <w:szCs w:val="22"/>
        </w:rPr>
        <w:t>;20:910</w:t>
      </w:r>
      <w:proofErr w:type="gramEnd"/>
      <w:r w:rsidR="00E17A14">
        <w:rPr>
          <w:rFonts w:ascii="Arial" w:hAnsi="Arial"/>
          <w:sz w:val="22"/>
          <w:szCs w:val="22"/>
        </w:rPr>
        <w:t>-918.</w:t>
      </w:r>
      <w:r w:rsidRPr="003F704B">
        <w:rPr>
          <w:rFonts w:ascii="Arial" w:hAnsi="Arial"/>
          <w:sz w:val="22"/>
          <w:szCs w:val="22"/>
        </w:rPr>
        <w:t xml:space="preserve"> </w:t>
      </w:r>
      <w:r w:rsidRPr="003F704B">
        <w:rPr>
          <w:rFonts w:ascii="Arial" w:hAnsi="Arial"/>
          <w:b/>
          <w:sz w:val="22"/>
          <w:szCs w:val="22"/>
        </w:rPr>
        <w:t>(* co-corresponding author)</w:t>
      </w:r>
    </w:p>
    <w:p w14:paraId="04216151" w14:textId="1B67F36B" w:rsidR="003B1FB2" w:rsidRDefault="003F704B" w:rsidP="003F704B">
      <w:pPr>
        <w:pStyle w:val="ListParagraph"/>
        <w:numPr>
          <w:ilvl w:val="0"/>
          <w:numId w:val="14"/>
        </w:numPr>
        <w:ind w:left="270" w:hanging="270"/>
        <w:rPr>
          <w:rFonts w:ascii="Arial" w:hAnsi="Arial"/>
          <w:sz w:val="22"/>
          <w:szCs w:val="22"/>
        </w:rPr>
      </w:pPr>
      <w:r w:rsidRPr="003F704B">
        <w:rPr>
          <w:rFonts w:ascii="Arial" w:hAnsi="Arial"/>
          <w:sz w:val="22"/>
          <w:szCs w:val="22"/>
        </w:rPr>
        <w:t xml:space="preserve">Efficacy and safety assessment of a TRAF6-targeted </w:t>
      </w:r>
      <w:proofErr w:type="spellStart"/>
      <w:r w:rsidRPr="003F704B">
        <w:rPr>
          <w:rFonts w:ascii="Arial" w:hAnsi="Arial"/>
          <w:sz w:val="22"/>
          <w:szCs w:val="22"/>
        </w:rPr>
        <w:t>nanoimmunotherapy</w:t>
      </w:r>
      <w:proofErr w:type="spellEnd"/>
      <w:r w:rsidRPr="003F704B">
        <w:rPr>
          <w:rFonts w:ascii="Arial" w:hAnsi="Arial"/>
          <w:sz w:val="22"/>
          <w:szCs w:val="22"/>
        </w:rPr>
        <w:t xml:space="preserve"> in atherosclerotic mice and non-human primates. </w:t>
      </w:r>
      <w:proofErr w:type="spellStart"/>
      <w:r w:rsidRPr="003F704B">
        <w:rPr>
          <w:rFonts w:ascii="Arial" w:hAnsi="Arial"/>
          <w:sz w:val="22"/>
          <w:szCs w:val="22"/>
        </w:rPr>
        <w:t>Lameijer</w:t>
      </w:r>
      <w:proofErr w:type="spellEnd"/>
      <w:r w:rsidRPr="003F704B">
        <w:rPr>
          <w:rFonts w:ascii="Arial" w:hAnsi="Arial"/>
          <w:sz w:val="22"/>
          <w:szCs w:val="22"/>
        </w:rPr>
        <w:t xml:space="preserve"> M, </w:t>
      </w:r>
      <w:proofErr w:type="spellStart"/>
      <w:r w:rsidRPr="003F704B">
        <w:rPr>
          <w:rFonts w:ascii="Arial" w:hAnsi="Arial"/>
          <w:sz w:val="22"/>
          <w:szCs w:val="22"/>
        </w:rPr>
        <w:t>Binderup</w:t>
      </w:r>
      <w:proofErr w:type="spellEnd"/>
      <w:r w:rsidRPr="003F704B">
        <w:rPr>
          <w:rFonts w:ascii="Arial" w:hAnsi="Arial"/>
          <w:sz w:val="22"/>
          <w:szCs w:val="22"/>
        </w:rPr>
        <w:t xml:space="preserve"> T, van </w:t>
      </w:r>
      <w:proofErr w:type="spellStart"/>
      <w:r w:rsidRPr="003F704B">
        <w:rPr>
          <w:rFonts w:ascii="Arial" w:hAnsi="Arial"/>
          <w:sz w:val="22"/>
          <w:szCs w:val="22"/>
        </w:rPr>
        <w:t>Leent</w:t>
      </w:r>
      <w:proofErr w:type="spellEnd"/>
      <w:r w:rsidRPr="003F704B">
        <w:rPr>
          <w:rFonts w:ascii="Arial" w:hAnsi="Arial"/>
          <w:sz w:val="22"/>
          <w:szCs w:val="22"/>
        </w:rPr>
        <w:t xml:space="preserve"> MMT, Senders ML, Fay F, </w:t>
      </w:r>
      <w:proofErr w:type="spellStart"/>
      <w:r w:rsidRPr="003F704B">
        <w:rPr>
          <w:rFonts w:ascii="Arial" w:hAnsi="Arial"/>
          <w:sz w:val="22"/>
          <w:szCs w:val="22"/>
        </w:rPr>
        <w:t>Malkus</w:t>
      </w:r>
      <w:proofErr w:type="spellEnd"/>
      <w:r w:rsidRPr="003F704B">
        <w:rPr>
          <w:rFonts w:ascii="Arial" w:hAnsi="Arial"/>
          <w:sz w:val="22"/>
          <w:szCs w:val="22"/>
        </w:rPr>
        <w:t xml:space="preserve"> J, Sanchez-Gaytan BL, </w:t>
      </w:r>
      <w:proofErr w:type="spellStart"/>
      <w:r w:rsidRPr="003F704B">
        <w:rPr>
          <w:rFonts w:ascii="Arial" w:hAnsi="Arial"/>
          <w:sz w:val="22"/>
          <w:szCs w:val="22"/>
        </w:rPr>
        <w:t>Teunissen</w:t>
      </w:r>
      <w:proofErr w:type="spellEnd"/>
      <w:r w:rsidRPr="003F704B">
        <w:rPr>
          <w:rFonts w:ascii="Arial" w:hAnsi="Arial"/>
          <w:sz w:val="22"/>
          <w:szCs w:val="22"/>
        </w:rPr>
        <w:t xml:space="preserve"> AJP, </w:t>
      </w:r>
      <w:proofErr w:type="spellStart"/>
      <w:r w:rsidRPr="003F704B">
        <w:rPr>
          <w:rFonts w:ascii="Arial" w:hAnsi="Arial"/>
          <w:sz w:val="22"/>
          <w:szCs w:val="22"/>
        </w:rPr>
        <w:t>Karakatsanis</w:t>
      </w:r>
      <w:proofErr w:type="spellEnd"/>
      <w:r w:rsidRPr="003F704B">
        <w:rPr>
          <w:rFonts w:ascii="Arial" w:hAnsi="Arial"/>
          <w:sz w:val="22"/>
          <w:szCs w:val="22"/>
        </w:rPr>
        <w:t xml:space="preserve"> N, Robson P, Zhou X, Ye Y, </w:t>
      </w:r>
      <w:proofErr w:type="spellStart"/>
      <w:r w:rsidRPr="003F704B">
        <w:rPr>
          <w:rFonts w:ascii="Arial" w:hAnsi="Arial"/>
          <w:sz w:val="22"/>
          <w:szCs w:val="22"/>
        </w:rPr>
        <w:t>Wojtkiewicz</w:t>
      </w:r>
      <w:proofErr w:type="spellEnd"/>
      <w:r w:rsidRPr="003F704B">
        <w:rPr>
          <w:rFonts w:ascii="Arial" w:hAnsi="Arial"/>
          <w:sz w:val="22"/>
          <w:szCs w:val="22"/>
        </w:rPr>
        <w:t xml:space="preserve"> G, Tang J, </w:t>
      </w:r>
      <w:proofErr w:type="spellStart"/>
      <w:r w:rsidRPr="003F704B">
        <w:rPr>
          <w:rFonts w:ascii="Arial" w:hAnsi="Arial"/>
          <w:sz w:val="22"/>
          <w:szCs w:val="22"/>
        </w:rPr>
        <w:t>Seijkens</w:t>
      </w:r>
      <w:proofErr w:type="spellEnd"/>
      <w:r w:rsidRPr="003F704B">
        <w:rPr>
          <w:rFonts w:ascii="Arial" w:hAnsi="Arial"/>
          <w:sz w:val="22"/>
          <w:szCs w:val="22"/>
        </w:rPr>
        <w:t xml:space="preserve"> TTP, Kroon J, </w:t>
      </w:r>
      <w:proofErr w:type="spellStart"/>
      <w:r w:rsidRPr="003F704B">
        <w:rPr>
          <w:rFonts w:ascii="Arial" w:hAnsi="Arial"/>
          <w:sz w:val="22"/>
          <w:szCs w:val="22"/>
        </w:rPr>
        <w:t>Stroes</w:t>
      </w:r>
      <w:proofErr w:type="spellEnd"/>
      <w:r w:rsidRPr="003F704B">
        <w:rPr>
          <w:rFonts w:ascii="Arial" w:hAnsi="Arial"/>
          <w:sz w:val="22"/>
          <w:szCs w:val="22"/>
        </w:rPr>
        <w:t xml:space="preserve"> ESG, </w:t>
      </w:r>
      <w:proofErr w:type="spellStart"/>
      <w:r w:rsidRPr="003F704B">
        <w:rPr>
          <w:rFonts w:ascii="Arial" w:hAnsi="Arial"/>
          <w:sz w:val="22"/>
          <w:szCs w:val="22"/>
        </w:rPr>
        <w:t>Kjaer</w:t>
      </w:r>
      <w:proofErr w:type="spellEnd"/>
      <w:r w:rsidRPr="003F704B">
        <w:rPr>
          <w:rFonts w:ascii="Arial" w:hAnsi="Arial"/>
          <w:sz w:val="22"/>
          <w:szCs w:val="22"/>
        </w:rPr>
        <w:t xml:space="preserve"> A, </w:t>
      </w:r>
      <w:proofErr w:type="spellStart"/>
      <w:r w:rsidRPr="003F704B">
        <w:rPr>
          <w:rFonts w:ascii="Arial" w:hAnsi="Arial"/>
          <w:sz w:val="22"/>
          <w:szCs w:val="22"/>
        </w:rPr>
        <w:t>Ochando</w:t>
      </w:r>
      <w:proofErr w:type="spellEnd"/>
      <w:r w:rsidRPr="003F704B">
        <w:rPr>
          <w:rFonts w:ascii="Arial" w:hAnsi="Arial"/>
          <w:sz w:val="22"/>
          <w:szCs w:val="22"/>
        </w:rPr>
        <w:t xml:space="preserve"> J, Reiner T, Pérez-Medina C, Calcagno C, Fischer EA, Zhang B, </w:t>
      </w:r>
      <w:r w:rsidRPr="003F704B">
        <w:rPr>
          <w:rFonts w:ascii="Arial" w:hAnsi="Arial"/>
          <w:b/>
          <w:sz w:val="22"/>
          <w:szCs w:val="22"/>
        </w:rPr>
        <w:t>Temel RE</w:t>
      </w:r>
      <w:r w:rsidRPr="003F704B">
        <w:rPr>
          <w:rFonts w:ascii="Arial" w:hAnsi="Arial"/>
          <w:sz w:val="22"/>
          <w:szCs w:val="22"/>
        </w:rPr>
        <w:t xml:space="preserve">, </w:t>
      </w:r>
      <w:proofErr w:type="spellStart"/>
      <w:r w:rsidRPr="003F704B">
        <w:rPr>
          <w:rFonts w:ascii="Arial" w:hAnsi="Arial"/>
          <w:sz w:val="22"/>
          <w:szCs w:val="22"/>
        </w:rPr>
        <w:t>Swirski</w:t>
      </w:r>
      <w:proofErr w:type="spellEnd"/>
      <w:r w:rsidRPr="003F704B">
        <w:rPr>
          <w:rFonts w:ascii="Arial" w:hAnsi="Arial"/>
          <w:sz w:val="22"/>
          <w:szCs w:val="22"/>
        </w:rPr>
        <w:t xml:space="preserve"> FK, </w:t>
      </w:r>
      <w:proofErr w:type="spellStart"/>
      <w:r w:rsidRPr="003F704B">
        <w:rPr>
          <w:rFonts w:ascii="Arial" w:hAnsi="Arial"/>
          <w:sz w:val="22"/>
          <w:szCs w:val="22"/>
        </w:rPr>
        <w:t>Nahrendorf</w:t>
      </w:r>
      <w:proofErr w:type="spellEnd"/>
      <w:r w:rsidRPr="003F704B">
        <w:rPr>
          <w:rFonts w:ascii="Arial" w:hAnsi="Arial"/>
          <w:sz w:val="22"/>
          <w:szCs w:val="22"/>
        </w:rPr>
        <w:t xml:space="preserve"> M, Fayad ZA, </w:t>
      </w:r>
      <w:proofErr w:type="spellStart"/>
      <w:r w:rsidRPr="003F704B">
        <w:rPr>
          <w:rFonts w:ascii="Arial" w:hAnsi="Arial"/>
          <w:sz w:val="22"/>
          <w:szCs w:val="22"/>
        </w:rPr>
        <w:t>Lutgens</w:t>
      </w:r>
      <w:proofErr w:type="spellEnd"/>
      <w:r w:rsidRPr="003F704B">
        <w:rPr>
          <w:rFonts w:ascii="Arial" w:hAnsi="Arial"/>
          <w:sz w:val="22"/>
          <w:szCs w:val="22"/>
        </w:rPr>
        <w:t xml:space="preserve"> E, Mulder WJM, Duivenvoorden R. Nature Biomedical Engineering. 2018; 279–292.</w:t>
      </w:r>
    </w:p>
    <w:p w14:paraId="71B1BDAF" w14:textId="77777777" w:rsidR="00E17A14" w:rsidRDefault="00E17A14" w:rsidP="00E17A14">
      <w:pPr>
        <w:spacing w:after="0"/>
        <w:rPr>
          <w:rFonts w:ascii="Arial" w:hAnsi="Arial"/>
        </w:rPr>
      </w:pPr>
    </w:p>
    <w:p w14:paraId="5D3217EB" w14:textId="667D191C" w:rsidR="00E17A14" w:rsidRPr="00E9537E" w:rsidRDefault="00E17A14" w:rsidP="00E17A14">
      <w:pPr>
        <w:spacing w:after="0"/>
        <w:rPr>
          <w:rFonts w:ascii="Arial" w:eastAsia="Times New Roman" w:hAnsi="Arial" w:cs="Arial"/>
          <w:i/>
          <w:szCs w:val="24"/>
        </w:rPr>
      </w:pPr>
      <w:r w:rsidRPr="00E9537E">
        <w:rPr>
          <w:rFonts w:ascii="Arial" w:eastAsia="Times New Roman" w:hAnsi="Arial" w:cs="Arial"/>
          <w:i/>
          <w:szCs w:val="24"/>
        </w:rPr>
        <w:t>Effects of miR-33</w:t>
      </w:r>
      <w:r>
        <w:rPr>
          <w:rFonts w:ascii="Arial" w:eastAsia="Times New Roman" w:hAnsi="Arial" w:cs="Arial"/>
          <w:i/>
          <w:szCs w:val="24"/>
        </w:rPr>
        <w:t xml:space="preserve"> a</w:t>
      </w:r>
      <w:r w:rsidRPr="00E9537E">
        <w:rPr>
          <w:rFonts w:ascii="Arial" w:eastAsia="Times New Roman" w:hAnsi="Arial" w:cs="Arial"/>
          <w:i/>
          <w:szCs w:val="24"/>
        </w:rPr>
        <w:t xml:space="preserve">ntagonism on </w:t>
      </w:r>
      <w:r>
        <w:rPr>
          <w:rFonts w:ascii="Arial" w:eastAsia="Times New Roman" w:hAnsi="Arial" w:cs="Arial"/>
          <w:i/>
          <w:szCs w:val="24"/>
        </w:rPr>
        <w:t>HDL metabolism and atherosclerosis</w:t>
      </w:r>
      <w:r w:rsidR="00E3597E">
        <w:rPr>
          <w:rFonts w:ascii="Arial" w:eastAsia="Times New Roman" w:hAnsi="Arial" w:cs="Arial"/>
          <w:i/>
          <w:szCs w:val="24"/>
        </w:rPr>
        <w:t xml:space="preserve"> regression</w:t>
      </w:r>
    </w:p>
    <w:p w14:paraId="65CC8D67" w14:textId="413CFDD6" w:rsidR="00E17A14" w:rsidRDefault="007A3390" w:rsidP="00E17A14">
      <w:pPr>
        <w:spacing w:after="0"/>
        <w:contextualSpacing/>
        <w:jc w:val="both"/>
        <w:rPr>
          <w:rFonts w:ascii="Arial" w:hAnsi="Arial" w:cs="Arial"/>
        </w:rPr>
      </w:pPr>
      <w:r w:rsidRPr="007A3390">
        <w:rPr>
          <w:rFonts w:ascii="Arial" w:hAnsi="Arial" w:cs="Arial"/>
        </w:rPr>
        <w:t xml:space="preserve">The two members of the microRNA-33 (miR-33) family miR-33a and miR-33b coordinately regulate lipid metabolism with their host genes sterol regulatory element binding transcription factor 2 (SREBF2) and SREBF1. </w:t>
      </w:r>
      <w:r w:rsidR="00E17A14" w:rsidRPr="00E9537E">
        <w:rPr>
          <w:rFonts w:ascii="Arial" w:hAnsi="Arial" w:cs="Arial"/>
        </w:rPr>
        <w:t xml:space="preserve"> Notably, miR-33a/b induce mRNA degradation and/or translational repression of genes involved in cholesterol efflux and fatty acid oxidation.  A major target of miR-33a/b is the ATP binding cassette transporter A1 (ABCA1), a protein essential for cholesterol efflux from foam cells and the formation of HDL. In mice, which encode only miR-33a, </w:t>
      </w:r>
      <w:r w:rsidR="00E17A14">
        <w:rPr>
          <w:rFonts w:ascii="Arial" w:hAnsi="Arial" w:cs="Arial"/>
        </w:rPr>
        <w:t xml:space="preserve">we showed that </w:t>
      </w:r>
      <w:r w:rsidR="00E17A14" w:rsidRPr="00E9537E">
        <w:rPr>
          <w:rFonts w:ascii="Arial" w:hAnsi="Arial" w:cs="Arial"/>
        </w:rPr>
        <w:t>an antisense oligonucleotide targeting miR-33 (anti-miR-33) increased hep</w:t>
      </w:r>
      <w:r w:rsidR="00E17A14">
        <w:rPr>
          <w:rFonts w:ascii="Arial" w:hAnsi="Arial" w:cs="Arial"/>
        </w:rPr>
        <w:t>atic and macrophage ABCA1, HDL cholesterol</w:t>
      </w:r>
      <w:r w:rsidR="00E17A14" w:rsidRPr="00E9537E">
        <w:rPr>
          <w:rFonts w:ascii="Arial" w:hAnsi="Arial" w:cs="Arial"/>
        </w:rPr>
        <w:t>, and atherosclerosis regression</w:t>
      </w:r>
      <w:r w:rsidR="00E17A14">
        <w:rPr>
          <w:rFonts w:ascii="Arial" w:hAnsi="Arial" w:cs="Arial"/>
        </w:rPr>
        <w:t xml:space="preserve"> (1)</w:t>
      </w:r>
      <w:r w:rsidR="00E17A14" w:rsidRPr="00E9537E">
        <w:rPr>
          <w:rFonts w:ascii="Arial" w:hAnsi="Arial" w:cs="Arial"/>
        </w:rPr>
        <w:t xml:space="preserve">.  However the translational value of the studies in mice was limited by the lack of miR-33b, which is expressed in humans and </w:t>
      </w:r>
      <w:r w:rsidR="00E17A14">
        <w:rPr>
          <w:rFonts w:ascii="Arial" w:hAnsi="Arial" w:cs="Arial"/>
        </w:rPr>
        <w:t>NHPs</w:t>
      </w:r>
      <w:r w:rsidR="00E17A14" w:rsidRPr="00E9537E">
        <w:rPr>
          <w:rFonts w:ascii="Arial" w:hAnsi="Arial" w:cs="Arial"/>
        </w:rPr>
        <w:t xml:space="preserve">. To test the effects of inhibiting both miR-33a and b, we treated </w:t>
      </w:r>
      <w:r w:rsidR="00E17A14">
        <w:rPr>
          <w:rFonts w:ascii="Arial" w:hAnsi="Arial" w:cs="Arial"/>
        </w:rPr>
        <w:t>NHPs</w:t>
      </w:r>
      <w:r w:rsidR="00E17A14" w:rsidRPr="00E9537E">
        <w:rPr>
          <w:rFonts w:ascii="Arial" w:hAnsi="Arial" w:cs="Arial"/>
        </w:rPr>
        <w:t xml:space="preserve"> with anti-miR-33 and fo</w:t>
      </w:r>
      <w:r w:rsidR="00E17A14">
        <w:rPr>
          <w:rFonts w:ascii="Arial" w:hAnsi="Arial" w:cs="Arial"/>
        </w:rPr>
        <w:t>und that hepatic ABCA1 and HDL were elevated and VLDL</w:t>
      </w:r>
      <w:r w:rsidR="00E17A14" w:rsidRPr="00E9537E">
        <w:rPr>
          <w:rFonts w:ascii="Arial" w:hAnsi="Arial" w:cs="Arial"/>
        </w:rPr>
        <w:t xml:space="preserve"> triglyceride was decreased</w:t>
      </w:r>
      <w:r w:rsidR="00E17A14">
        <w:rPr>
          <w:rFonts w:ascii="Arial" w:hAnsi="Arial" w:cs="Arial"/>
        </w:rPr>
        <w:t xml:space="preserve"> (2)</w:t>
      </w:r>
      <w:r w:rsidR="00E17A14" w:rsidRPr="00E9537E">
        <w:rPr>
          <w:rFonts w:ascii="Arial" w:hAnsi="Arial" w:cs="Arial"/>
        </w:rPr>
        <w:t>.</w:t>
      </w:r>
      <w:r w:rsidR="00E17A14">
        <w:rPr>
          <w:rFonts w:ascii="Arial" w:hAnsi="Arial" w:cs="Arial"/>
        </w:rPr>
        <w:t xml:space="preserve">  We are currently working to determine </w:t>
      </w:r>
      <w:r w:rsidR="00E17A14" w:rsidRPr="00E9537E">
        <w:rPr>
          <w:rFonts w:ascii="Arial" w:hAnsi="Arial" w:cs="Arial"/>
        </w:rPr>
        <w:t>the effects of anti-miR-33 on ath</w:t>
      </w:r>
      <w:r w:rsidR="00E17A14">
        <w:rPr>
          <w:rFonts w:ascii="Arial" w:hAnsi="Arial" w:cs="Arial"/>
        </w:rPr>
        <w:t xml:space="preserve">erosclerosis regression or stabilization </w:t>
      </w:r>
      <w:r w:rsidR="00E17A14" w:rsidRPr="00E9537E">
        <w:rPr>
          <w:rFonts w:ascii="Arial" w:hAnsi="Arial" w:cs="Arial"/>
        </w:rPr>
        <w:t xml:space="preserve">in </w:t>
      </w:r>
      <w:r w:rsidR="00E17A14">
        <w:rPr>
          <w:rFonts w:ascii="Arial" w:hAnsi="Arial" w:cs="Arial"/>
        </w:rPr>
        <w:t>NHPs</w:t>
      </w:r>
      <w:r w:rsidR="00E17A14" w:rsidRPr="00E9537E">
        <w:rPr>
          <w:rFonts w:ascii="Arial" w:hAnsi="Arial" w:cs="Arial"/>
        </w:rPr>
        <w:t>.</w:t>
      </w:r>
      <w:r w:rsidR="00E17A14">
        <w:rPr>
          <w:rFonts w:ascii="Arial" w:hAnsi="Arial" w:cs="Arial"/>
        </w:rPr>
        <w:t xml:space="preserve">  The results from our project </w:t>
      </w:r>
      <w:r w:rsidR="00E17A14" w:rsidRPr="00691F46">
        <w:rPr>
          <w:rFonts w:ascii="Arial" w:hAnsi="Arial" w:cs="Arial"/>
        </w:rPr>
        <w:t>will greatly aid in</w:t>
      </w:r>
      <w:r w:rsidR="00E3597E">
        <w:rPr>
          <w:rFonts w:ascii="Arial" w:hAnsi="Arial" w:cs="Arial"/>
        </w:rPr>
        <w:t xml:space="preserve"> assessing </w:t>
      </w:r>
      <w:r w:rsidR="00E17A14" w:rsidRPr="00691F46">
        <w:rPr>
          <w:rFonts w:ascii="Arial" w:hAnsi="Arial" w:cs="Arial"/>
        </w:rPr>
        <w:t>miR-33</w:t>
      </w:r>
      <w:r w:rsidR="00E3597E">
        <w:rPr>
          <w:rFonts w:ascii="Arial" w:hAnsi="Arial" w:cs="Arial"/>
        </w:rPr>
        <w:t xml:space="preserve"> antagonism</w:t>
      </w:r>
      <w:r w:rsidR="00E17A14" w:rsidRPr="00691F46">
        <w:rPr>
          <w:rFonts w:ascii="Arial" w:hAnsi="Arial" w:cs="Arial"/>
        </w:rPr>
        <w:t xml:space="preserve"> as a potential clinical treatment for CHD.</w:t>
      </w:r>
    </w:p>
    <w:p w14:paraId="73598BFF" w14:textId="77777777" w:rsidR="00E17A14" w:rsidRPr="00A27930" w:rsidRDefault="00E17A14" w:rsidP="00E17A14">
      <w:pPr>
        <w:pStyle w:val="ListParagraph"/>
        <w:numPr>
          <w:ilvl w:val="0"/>
          <w:numId w:val="7"/>
        </w:numPr>
        <w:ind w:left="270" w:hanging="270"/>
        <w:rPr>
          <w:rFonts w:ascii="Arial" w:hAnsi="Arial"/>
          <w:sz w:val="22"/>
          <w:szCs w:val="22"/>
        </w:rPr>
      </w:pPr>
      <w:r w:rsidRPr="00A27930">
        <w:rPr>
          <w:rFonts w:ascii="Arial" w:hAnsi="Arial"/>
          <w:sz w:val="22"/>
          <w:szCs w:val="22"/>
        </w:rPr>
        <w:t xml:space="preserve">Antagonism of miR-33 in mice promotes reverse cholesterol transport and regression of atherosclerosis. Rayner KJ, Sheedy FJ, Esau CC, Hussain FN, </w:t>
      </w:r>
      <w:r w:rsidRPr="00A27930">
        <w:rPr>
          <w:rFonts w:ascii="Arial" w:hAnsi="Arial"/>
          <w:b/>
          <w:sz w:val="22"/>
          <w:szCs w:val="22"/>
        </w:rPr>
        <w:t>Temel RE</w:t>
      </w:r>
      <w:r w:rsidRPr="00A27930">
        <w:rPr>
          <w:rFonts w:ascii="Arial" w:hAnsi="Arial"/>
          <w:sz w:val="22"/>
          <w:szCs w:val="22"/>
        </w:rPr>
        <w:t xml:space="preserve">, </w:t>
      </w:r>
      <w:proofErr w:type="spellStart"/>
      <w:r w:rsidRPr="00A27930">
        <w:rPr>
          <w:rFonts w:ascii="Arial" w:hAnsi="Arial"/>
          <w:sz w:val="22"/>
          <w:szCs w:val="22"/>
        </w:rPr>
        <w:t>Parathath</w:t>
      </w:r>
      <w:proofErr w:type="spellEnd"/>
      <w:r w:rsidRPr="00A27930">
        <w:rPr>
          <w:rFonts w:ascii="Arial" w:hAnsi="Arial"/>
          <w:sz w:val="22"/>
          <w:szCs w:val="22"/>
        </w:rPr>
        <w:t xml:space="preserve"> S, van Gils JM, Rayner AJ, Chang AN, Suarez Y, Fernandez-Hernando C, Fisher EA, Moore KJ. J </w:t>
      </w:r>
      <w:proofErr w:type="spellStart"/>
      <w:r w:rsidRPr="00A27930">
        <w:rPr>
          <w:rFonts w:ascii="Arial" w:hAnsi="Arial"/>
          <w:sz w:val="22"/>
          <w:szCs w:val="22"/>
        </w:rPr>
        <w:t>Clin</w:t>
      </w:r>
      <w:proofErr w:type="spellEnd"/>
      <w:r w:rsidRPr="00A27930">
        <w:rPr>
          <w:rFonts w:ascii="Arial" w:hAnsi="Arial"/>
          <w:sz w:val="22"/>
          <w:szCs w:val="22"/>
        </w:rPr>
        <w:t xml:space="preserve"> Invest. 2011;121:2921-31</w:t>
      </w:r>
    </w:p>
    <w:p w14:paraId="4D5C9ED6" w14:textId="77777777" w:rsidR="00E17A14" w:rsidRPr="00752C90" w:rsidRDefault="00E17A14" w:rsidP="00E17A14">
      <w:pPr>
        <w:pStyle w:val="ListParagraph"/>
        <w:numPr>
          <w:ilvl w:val="0"/>
          <w:numId w:val="7"/>
        </w:numPr>
        <w:ind w:left="270" w:hanging="270"/>
        <w:rPr>
          <w:rFonts w:ascii="Arial" w:hAnsi="Arial"/>
          <w:sz w:val="22"/>
          <w:szCs w:val="22"/>
        </w:rPr>
      </w:pPr>
      <w:r w:rsidRPr="00A27930">
        <w:rPr>
          <w:rFonts w:ascii="Arial" w:hAnsi="Arial"/>
          <w:sz w:val="22"/>
          <w:szCs w:val="22"/>
        </w:rPr>
        <w:t xml:space="preserve">Inhibition of miR-33a/b in non-human primates raises plasma HDL and lowers VLDL triglycerides. Rayner KJ, Esau CC, Hussain FN, McDaniel AL, Marshall SM, van Gils JM, Ray TD, Sheedy FJ, </w:t>
      </w:r>
      <w:proofErr w:type="spellStart"/>
      <w:r w:rsidRPr="00A27930">
        <w:rPr>
          <w:rFonts w:ascii="Arial" w:hAnsi="Arial"/>
          <w:sz w:val="22"/>
          <w:szCs w:val="22"/>
        </w:rPr>
        <w:t>Goedeke</w:t>
      </w:r>
      <w:proofErr w:type="spellEnd"/>
      <w:r w:rsidRPr="00A27930">
        <w:rPr>
          <w:rFonts w:ascii="Arial" w:hAnsi="Arial"/>
          <w:sz w:val="22"/>
          <w:szCs w:val="22"/>
        </w:rPr>
        <w:t xml:space="preserve"> L, Liu X, </w:t>
      </w:r>
      <w:proofErr w:type="spellStart"/>
      <w:r w:rsidRPr="00A27930">
        <w:rPr>
          <w:rFonts w:ascii="Arial" w:hAnsi="Arial"/>
          <w:sz w:val="22"/>
          <w:szCs w:val="22"/>
        </w:rPr>
        <w:t>Khatsenko</w:t>
      </w:r>
      <w:proofErr w:type="spellEnd"/>
      <w:r w:rsidRPr="00A27930">
        <w:rPr>
          <w:rFonts w:ascii="Arial" w:hAnsi="Arial"/>
          <w:sz w:val="22"/>
          <w:szCs w:val="22"/>
        </w:rPr>
        <w:t xml:space="preserve"> OG, </w:t>
      </w:r>
      <w:proofErr w:type="spellStart"/>
      <w:r w:rsidRPr="00A27930">
        <w:rPr>
          <w:rFonts w:ascii="Arial" w:hAnsi="Arial"/>
          <w:sz w:val="22"/>
          <w:szCs w:val="22"/>
        </w:rPr>
        <w:t>Kaimal</w:t>
      </w:r>
      <w:proofErr w:type="spellEnd"/>
      <w:r w:rsidRPr="00A27930">
        <w:rPr>
          <w:rFonts w:ascii="Arial" w:hAnsi="Arial"/>
          <w:sz w:val="22"/>
          <w:szCs w:val="22"/>
        </w:rPr>
        <w:t xml:space="preserve"> V, Lees CJ, Fernandez-Hernando C, Fisher EA, </w:t>
      </w:r>
      <w:r w:rsidRPr="00A27930">
        <w:rPr>
          <w:rFonts w:ascii="Arial" w:hAnsi="Arial"/>
          <w:b/>
          <w:sz w:val="22"/>
          <w:szCs w:val="22"/>
        </w:rPr>
        <w:t>Temel RE*</w:t>
      </w:r>
      <w:r w:rsidRPr="00A27930">
        <w:rPr>
          <w:rFonts w:ascii="Arial" w:hAnsi="Arial"/>
          <w:sz w:val="22"/>
          <w:szCs w:val="22"/>
        </w:rPr>
        <w:t>, M</w:t>
      </w:r>
      <w:r>
        <w:rPr>
          <w:rFonts w:ascii="Arial" w:hAnsi="Arial"/>
          <w:sz w:val="22"/>
          <w:szCs w:val="22"/>
        </w:rPr>
        <w:t xml:space="preserve">oore KJ. Nature. 2011;478:404-7 </w:t>
      </w:r>
      <w:r w:rsidRPr="00A27930">
        <w:rPr>
          <w:rFonts w:ascii="Arial" w:hAnsi="Arial"/>
          <w:b/>
          <w:sz w:val="22"/>
          <w:szCs w:val="22"/>
        </w:rPr>
        <w:t>(* equal contribution to study)</w:t>
      </w:r>
    </w:p>
    <w:p w14:paraId="7546527A" w14:textId="77777777" w:rsidR="00E17A14" w:rsidRDefault="00E17A14" w:rsidP="00E17A14">
      <w:pPr>
        <w:pStyle w:val="ListParagraph"/>
        <w:numPr>
          <w:ilvl w:val="0"/>
          <w:numId w:val="7"/>
        </w:numPr>
        <w:ind w:left="270" w:hanging="270"/>
        <w:rPr>
          <w:rFonts w:ascii="Arial" w:hAnsi="Arial"/>
          <w:sz w:val="22"/>
          <w:szCs w:val="22"/>
        </w:rPr>
      </w:pPr>
      <w:r>
        <w:rPr>
          <w:rFonts w:ascii="Arial" w:hAnsi="Arial"/>
          <w:sz w:val="22"/>
          <w:szCs w:val="22"/>
        </w:rPr>
        <w:t>miRNA</w:t>
      </w:r>
      <w:r w:rsidRPr="00752C90">
        <w:rPr>
          <w:rFonts w:ascii="Arial" w:hAnsi="Arial"/>
          <w:sz w:val="22"/>
          <w:szCs w:val="22"/>
        </w:rPr>
        <w:t xml:space="preserve"> targeting of oxysterol-binding protein-like 6 regulates cholesterol trafficking and efflux</w:t>
      </w:r>
      <w:r>
        <w:rPr>
          <w:rFonts w:ascii="Arial" w:hAnsi="Arial"/>
          <w:sz w:val="22"/>
          <w:szCs w:val="22"/>
        </w:rPr>
        <w:t xml:space="preserve">. </w:t>
      </w:r>
      <w:r w:rsidRPr="00752C90">
        <w:rPr>
          <w:rFonts w:ascii="Arial" w:hAnsi="Arial"/>
          <w:sz w:val="22"/>
          <w:szCs w:val="22"/>
        </w:rPr>
        <w:t xml:space="preserve">Ouimet M, Hennessy EJ, van Solingen C, </w:t>
      </w:r>
      <w:proofErr w:type="spellStart"/>
      <w:r w:rsidRPr="00752C90">
        <w:rPr>
          <w:rFonts w:ascii="Arial" w:hAnsi="Arial"/>
          <w:sz w:val="22"/>
          <w:szCs w:val="22"/>
        </w:rPr>
        <w:t>Koelwyn</w:t>
      </w:r>
      <w:proofErr w:type="spellEnd"/>
      <w:r w:rsidRPr="00752C90">
        <w:rPr>
          <w:rFonts w:ascii="Arial" w:hAnsi="Arial"/>
          <w:sz w:val="22"/>
          <w:szCs w:val="22"/>
        </w:rPr>
        <w:t xml:space="preserve"> GJ, Hussein MA, </w:t>
      </w:r>
      <w:proofErr w:type="spellStart"/>
      <w:r w:rsidRPr="00752C90">
        <w:rPr>
          <w:rFonts w:ascii="Arial" w:hAnsi="Arial"/>
          <w:sz w:val="22"/>
          <w:szCs w:val="22"/>
        </w:rPr>
        <w:t>Ramkhelawon</w:t>
      </w:r>
      <w:proofErr w:type="spellEnd"/>
      <w:r w:rsidRPr="00752C90">
        <w:rPr>
          <w:rFonts w:ascii="Arial" w:hAnsi="Arial"/>
          <w:sz w:val="22"/>
          <w:szCs w:val="22"/>
        </w:rPr>
        <w:t xml:space="preserve"> B, Rayner KJ, </w:t>
      </w:r>
      <w:r w:rsidRPr="00752C90">
        <w:rPr>
          <w:rFonts w:ascii="Arial" w:hAnsi="Arial"/>
          <w:b/>
          <w:sz w:val="22"/>
          <w:szCs w:val="22"/>
        </w:rPr>
        <w:t>Temel RE</w:t>
      </w:r>
      <w:r w:rsidRPr="00752C90">
        <w:rPr>
          <w:rFonts w:ascii="Arial" w:hAnsi="Arial"/>
          <w:sz w:val="22"/>
          <w:szCs w:val="22"/>
        </w:rPr>
        <w:t xml:space="preserve">, </w:t>
      </w:r>
      <w:proofErr w:type="spellStart"/>
      <w:r w:rsidRPr="00752C90">
        <w:rPr>
          <w:rFonts w:ascii="Arial" w:hAnsi="Arial"/>
          <w:sz w:val="22"/>
          <w:szCs w:val="22"/>
        </w:rPr>
        <w:t>Perisic</w:t>
      </w:r>
      <w:proofErr w:type="spellEnd"/>
      <w:r w:rsidRPr="00752C90">
        <w:rPr>
          <w:rFonts w:ascii="Arial" w:hAnsi="Arial"/>
          <w:sz w:val="22"/>
          <w:szCs w:val="22"/>
        </w:rPr>
        <w:t xml:space="preserve"> L, Hedin U, </w:t>
      </w:r>
      <w:proofErr w:type="spellStart"/>
      <w:r w:rsidRPr="00752C90">
        <w:rPr>
          <w:rFonts w:ascii="Arial" w:hAnsi="Arial"/>
          <w:sz w:val="22"/>
          <w:szCs w:val="22"/>
        </w:rPr>
        <w:t>Maegdefessel</w:t>
      </w:r>
      <w:proofErr w:type="spellEnd"/>
      <w:r w:rsidRPr="00752C90">
        <w:rPr>
          <w:rFonts w:ascii="Arial" w:hAnsi="Arial"/>
          <w:sz w:val="22"/>
          <w:szCs w:val="22"/>
        </w:rPr>
        <w:t xml:space="preserve"> L, </w:t>
      </w:r>
      <w:proofErr w:type="spellStart"/>
      <w:r w:rsidRPr="00752C90">
        <w:rPr>
          <w:rFonts w:ascii="Arial" w:hAnsi="Arial"/>
          <w:sz w:val="22"/>
          <w:szCs w:val="22"/>
        </w:rPr>
        <w:t>Garabedian</w:t>
      </w:r>
      <w:proofErr w:type="spellEnd"/>
      <w:r w:rsidRPr="00752C90">
        <w:rPr>
          <w:rFonts w:ascii="Arial" w:hAnsi="Arial"/>
          <w:sz w:val="22"/>
          <w:szCs w:val="22"/>
        </w:rPr>
        <w:t xml:space="preserve"> MJ, </w:t>
      </w:r>
      <w:proofErr w:type="spellStart"/>
      <w:r w:rsidRPr="00752C90">
        <w:rPr>
          <w:rFonts w:ascii="Arial" w:hAnsi="Arial"/>
          <w:sz w:val="22"/>
          <w:szCs w:val="22"/>
        </w:rPr>
        <w:t>Holdt</w:t>
      </w:r>
      <w:proofErr w:type="spellEnd"/>
      <w:r w:rsidRPr="00752C90">
        <w:rPr>
          <w:rFonts w:ascii="Arial" w:hAnsi="Arial"/>
          <w:sz w:val="22"/>
          <w:szCs w:val="22"/>
        </w:rPr>
        <w:t xml:space="preserve"> LM, </w:t>
      </w:r>
      <w:proofErr w:type="spellStart"/>
      <w:r w:rsidRPr="00752C90">
        <w:rPr>
          <w:rFonts w:ascii="Arial" w:hAnsi="Arial"/>
          <w:sz w:val="22"/>
          <w:szCs w:val="22"/>
        </w:rPr>
        <w:t>Teupser</w:t>
      </w:r>
      <w:proofErr w:type="spellEnd"/>
      <w:r w:rsidRPr="00752C90">
        <w:rPr>
          <w:rFonts w:ascii="Arial" w:hAnsi="Arial"/>
          <w:sz w:val="22"/>
          <w:szCs w:val="22"/>
        </w:rPr>
        <w:t xml:space="preserve"> D, Moore KJ. </w:t>
      </w:r>
      <w:proofErr w:type="spellStart"/>
      <w:r w:rsidRPr="00752C90">
        <w:rPr>
          <w:rFonts w:ascii="Arial" w:hAnsi="Arial"/>
          <w:sz w:val="22"/>
          <w:szCs w:val="22"/>
        </w:rPr>
        <w:t>Arterioscler</w:t>
      </w:r>
      <w:proofErr w:type="spellEnd"/>
      <w:r w:rsidRPr="00752C90">
        <w:rPr>
          <w:rFonts w:ascii="Arial" w:hAnsi="Arial"/>
          <w:sz w:val="22"/>
          <w:szCs w:val="22"/>
        </w:rPr>
        <w:t xml:space="preserve"> </w:t>
      </w:r>
      <w:proofErr w:type="spellStart"/>
      <w:r w:rsidRPr="00752C90">
        <w:rPr>
          <w:rFonts w:ascii="Arial" w:hAnsi="Arial"/>
          <w:sz w:val="22"/>
          <w:szCs w:val="22"/>
        </w:rPr>
        <w:t>Thromb</w:t>
      </w:r>
      <w:proofErr w:type="spellEnd"/>
      <w:r w:rsidRPr="00752C90">
        <w:rPr>
          <w:rFonts w:ascii="Arial" w:hAnsi="Arial"/>
          <w:sz w:val="22"/>
          <w:szCs w:val="22"/>
        </w:rPr>
        <w:t xml:space="preserve"> </w:t>
      </w:r>
      <w:proofErr w:type="spellStart"/>
      <w:r w:rsidRPr="00752C90">
        <w:rPr>
          <w:rFonts w:ascii="Arial" w:hAnsi="Arial"/>
          <w:sz w:val="22"/>
          <w:szCs w:val="22"/>
        </w:rPr>
        <w:t>Vasc</w:t>
      </w:r>
      <w:proofErr w:type="spellEnd"/>
      <w:r w:rsidRPr="00752C90">
        <w:rPr>
          <w:rFonts w:ascii="Arial" w:hAnsi="Arial"/>
          <w:sz w:val="22"/>
          <w:szCs w:val="22"/>
        </w:rPr>
        <w:t xml:space="preserve"> Biol. 2016 May;36(5):942-51</w:t>
      </w:r>
    </w:p>
    <w:p w14:paraId="7EB45ABA" w14:textId="4AC6C88D" w:rsidR="00AA14C1" w:rsidRPr="00AA14C1" w:rsidRDefault="00AA14C1" w:rsidP="00AA14C1">
      <w:pPr>
        <w:pStyle w:val="ListParagraph"/>
        <w:ind w:left="360"/>
        <w:rPr>
          <w:rFonts w:cs="Times New Roman"/>
        </w:rPr>
      </w:pPr>
    </w:p>
    <w:p w14:paraId="2C0CE47E" w14:textId="71D1B74F" w:rsidR="00A1776B" w:rsidRPr="00AA184B" w:rsidRDefault="00A1776B" w:rsidP="00A1776B">
      <w:pPr>
        <w:spacing w:after="0"/>
        <w:rPr>
          <w:rFonts w:ascii="Arial" w:eastAsia="Times New Roman" w:hAnsi="Arial" w:cs="Arial"/>
          <w:i/>
          <w:szCs w:val="24"/>
        </w:rPr>
      </w:pPr>
      <w:r w:rsidRPr="00AA184B">
        <w:rPr>
          <w:rFonts w:ascii="Arial" w:eastAsia="Times New Roman" w:hAnsi="Arial" w:cs="Arial"/>
          <w:i/>
          <w:szCs w:val="24"/>
        </w:rPr>
        <w:t>Determination of the molecular mechanisms of tr</w:t>
      </w:r>
      <w:r>
        <w:rPr>
          <w:rFonts w:ascii="Arial" w:eastAsia="Times New Roman" w:hAnsi="Arial" w:cs="Arial"/>
          <w:i/>
          <w:szCs w:val="24"/>
        </w:rPr>
        <w:t>ansintestinal cholesterol excretion</w:t>
      </w:r>
    </w:p>
    <w:p w14:paraId="05A6782A" w14:textId="5D86751A" w:rsidR="00A1776B" w:rsidRDefault="00A1776B" w:rsidP="00A1776B">
      <w:pPr>
        <w:spacing w:after="0"/>
        <w:jc w:val="both"/>
        <w:rPr>
          <w:rFonts w:ascii="Arial" w:eastAsia="Times New Roman" w:hAnsi="Arial" w:cs="Arial"/>
          <w:szCs w:val="24"/>
        </w:rPr>
      </w:pPr>
      <w:r>
        <w:rPr>
          <w:rFonts w:ascii="Arial" w:eastAsia="Times New Roman" w:hAnsi="Arial" w:cs="Arial"/>
          <w:szCs w:val="24"/>
        </w:rPr>
        <w:t>A way to reduce LDL cholesterol</w:t>
      </w:r>
      <w:r w:rsidRPr="00AA184B">
        <w:rPr>
          <w:rFonts w:ascii="Arial" w:eastAsia="Times New Roman" w:hAnsi="Arial" w:cs="Arial"/>
          <w:szCs w:val="24"/>
        </w:rPr>
        <w:t>, the primary ri</w:t>
      </w:r>
      <w:r>
        <w:rPr>
          <w:rFonts w:ascii="Arial" w:eastAsia="Times New Roman" w:hAnsi="Arial" w:cs="Arial"/>
          <w:szCs w:val="24"/>
        </w:rPr>
        <w:t>sk factor for coronary heart disease (CHD)</w:t>
      </w:r>
      <w:r w:rsidRPr="00AA184B">
        <w:rPr>
          <w:rFonts w:ascii="Arial" w:eastAsia="Times New Roman" w:hAnsi="Arial" w:cs="Arial"/>
          <w:szCs w:val="24"/>
        </w:rPr>
        <w:t>, is to increase cholesterol excretion from the bod</w:t>
      </w:r>
      <w:r>
        <w:rPr>
          <w:rFonts w:ascii="Arial" w:eastAsia="Times New Roman" w:hAnsi="Arial" w:cs="Arial"/>
          <w:szCs w:val="24"/>
        </w:rPr>
        <w:t>y.  T</w:t>
      </w:r>
      <w:r w:rsidRPr="00AA184B">
        <w:rPr>
          <w:rFonts w:ascii="Arial" w:eastAsia="Times New Roman" w:hAnsi="Arial" w:cs="Arial"/>
          <w:szCs w:val="24"/>
        </w:rPr>
        <w:t>he majority of fecal cholesterol is derived</w:t>
      </w:r>
      <w:r>
        <w:rPr>
          <w:rFonts w:ascii="Arial" w:eastAsia="Times New Roman" w:hAnsi="Arial" w:cs="Arial"/>
          <w:szCs w:val="24"/>
        </w:rPr>
        <w:t xml:space="preserve"> from bile</w:t>
      </w:r>
      <w:r w:rsidRPr="00AA184B">
        <w:rPr>
          <w:rFonts w:ascii="Arial" w:eastAsia="Times New Roman" w:hAnsi="Arial" w:cs="Arial"/>
          <w:szCs w:val="24"/>
        </w:rPr>
        <w:t>. However, there is mounting e</w:t>
      </w:r>
      <w:r>
        <w:rPr>
          <w:rFonts w:ascii="Arial" w:eastAsia="Times New Roman" w:hAnsi="Arial" w:cs="Arial"/>
          <w:szCs w:val="24"/>
        </w:rPr>
        <w:t xml:space="preserve">vidence that the liver may </w:t>
      </w:r>
      <w:r w:rsidRPr="00AA184B">
        <w:rPr>
          <w:rFonts w:ascii="Arial" w:eastAsia="Times New Roman" w:hAnsi="Arial" w:cs="Arial"/>
          <w:szCs w:val="24"/>
        </w:rPr>
        <w:t>create lipoproteins that can traffic excess cholesterol to the intestine. Through a process known as transintestina</w:t>
      </w:r>
      <w:r>
        <w:rPr>
          <w:rFonts w:ascii="Arial" w:eastAsia="Times New Roman" w:hAnsi="Arial" w:cs="Arial"/>
          <w:szCs w:val="24"/>
        </w:rPr>
        <w:t>l cholesterol excretion (TICE),</w:t>
      </w:r>
      <w:r w:rsidRPr="00AA184B">
        <w:rPr>
          <w:rFonts w:ascii="Arial" w:eastAsia="Times New Roman" w:hAnsi="Arial" w:cs="Arial"/>
          <w:szCs w:val="24"/>
        </w:rPr>
        <w:t xml:space="preserve"> lipoprotein-associated cholesterol is internalized by the enterocytes and is secreted into th</w:t>
      </w:r>
      <w:r>
        <w:rPr>
          <w:rFonts w:ascii="Arial" w:eastAsia="Times New Roman" w:hAnsi="Arial" w:cs="Arial"/>
          <w:szCs w:val="24"/>
        </w:rPr>
        <w:t xml:space="preserve">e lumen of the small intestine.  Our lab studies TICE using </w:t>
      </w:r>
      <w:r>
        <w:rPr>
          <w:rFonts w:ascii="Arial" w:eastAsia="Times New Roman" w:hAnsi="Arial" w:cs="Arial"/>
          <w:szCs w:val="24"/>
        </w:rPr>
        <w:lastRenderedPageBreak/>
        <w:t>the</w:t>
      </w:r>
      <w:r w:rsidRPr="00AA184B">
        <w:rPr>
          <w:rFonts w:ascii="Arial" w:eastAsia="Times New Roman" w:hAnsi="Arial" w:cs="Arial"/>
          <w:szCs w:val="24"/>
        </w:rPr>
        <w:t xml:space="preserve"> Niemann-Pick C1-like </w:t>
      </w:r>
      <w:r>
        <w:rPr>
          <w:rFonts w:ascii="Arial" w:eastAsia="Times New Roman" w:hAnsi="Arial" w:cs="Arial"/>
          <w:szCs w:val="24"/>
        </w:rPr>
        <w:t xml:space="preserve">1 hepatic transgenic (L1Tg) mouse.  While working as a post-doctoral scholar in Dr. Larry </w:t>
      </w:r>
      <w:proofErr w:type="spellStart"/>
      <w:r>
        <w:rPr>
          <w:rFonts w:ascii="Arial" w:eastAsia="Times New Roman" w:hAnsi="Arial" w:cs="Arial"/>
          <w:szCs w:val="24"/>
        </w:rPr>
        <w:t>Rudel’s</w:t>
      </w:r>
      <w:proofErr w:type="spellEnd"/>
      <w:r>
        <w:rPr>
          <w:rFonts w:ascii="Arial" w:eastAsia="Times New Roman" w:hAnsi="Arial" w:cs="Arial"/>
          <w:szCs w:val="24"/>
        </w:rPr>
        <w:t xml:space="preserve"> lab and collaborating with Dr. </w:t>
      </w:r>
      <w:proofErr w:type="spellStart"/>
      <w:r>
        <w:rPr>
          <w:rFonts w:ascii="Arial" w:eastAsia="Times New Roman" w:hAnsi="Arial" w:cs="Arial"/>
          <w:szCs w:val="24"/>
        </w:rPr>
        <w:t>Liqing</w:t>
      </w:r>
      <w:proofErr w:type="spellEnd"/>
      <w:r>
        <w:rPr>
          <w:rFonts w:ascii="Arial" w:eastAsia="Times New Roman" w:hAnsi="Arial" w:cs="Arial"/>
          <w:szCs w:val="24"/>
        </w:rPr>
        <w:t xml:space="preserve"> Y</w:t>
      </w:r>
      <w:r w:rsidR="004A19A0">
        <w:rPr>
          <w:rFonts w:ascii="Arial" w:eastAsia="Times New Roman" w:hAnsi="Arial" w:cs="Arial"/>
          <w:szCs w:val="24"/>
        </w:rPr>
        <w:t xml:space="preserve">u, we found that L1Tg mice </w:t>
      </w:r>
      <w:r>
        <w:rPr>
          <w:rFonts w:ascii="Arial" w:eastAsia="Times New Roman" w:hAnsi="Arial" w:cs="Arial"/>
          <w:szCs w:val="24"/>
        </w:rPr>
        <w:t>had</w:t>
      </w:r>
      <w:r w:rsidRPr="00AA184B">
        <w:rPr>
          <w:rFonts w:ascii="Arial" w:eastAsia="Times New Roman" w:hAnsi="Arial" w:cs="Arial"/>
          <w:szCs w:val="24"/>
        </w:rPr>
        <w:t xml:space="preserve"> an 80-90% decrease</w:t>
      </w:r>
      <w:r>
        <w:rPr>
          <w:rFonts w:ascii="Arial" w:eastAsia="Times New Roman" w:hAnsi="Arial" w:cs="Arial"/>
          <w:szCs w:val="24"/>
        </w:rPr>
        <w:t xml:space="preserve"> in biliary cholesterol but had</w:t>
      </w:r>
      <w:r w:rsidRPr="00AA184B">
        <w:rPr>
          <w:rFonts w:ascii="Arial" w:eastAsia="Times New Roman" w:hAnsi="Arial" w:cs="Arial"/>
          <w:szCs w:val="24"/>
        </w:rPr>
        <w:t xml:space="preserve"> normal cholesterol absorption and fecal cholesterol excretion</w:t>
      </w:r>
      <w:r>
        <w:rPr>
          <w:rFonts w:ascii="Arial" w:eastAsia="Times New Roman" w:hAnsi="Arial" w:cs="Arial"/>
          <w:szCs w:val="24"/>
        </w:rPr>
        <w:t xml:space="preserve"> (1).  Dr. Mark Brown and I subsequently reported that L1Tg mice had normal macrophage-to-feces reverse cholesterol transport (2) thus indicating that TICE was stimulated in this mouse model.  We have also shown that </w:t>
      </w:r>
      <w:proofErr w:type="spellStart"/>
      <w:r>
        <w:rPr>
          <w:rFonts w:ascii="Arial" w:eastAsia="Times New Roman" w:hAnsi="Arial" w:cs="Arial"/>
          <w:szCs w:val="24"/>
        </w:rPr>
        <w:t>apoB</w:t>
      </w:r>
      <w:proofErr w:type="spellEnd"/>
      <w:r>
        <w:rPr>
          <w:rFonts w:ascii="Arial" w:eastAsia="Times New Roman" w:hAnsi="Arial" w:cs="Arial"/>
          <w:szCs w:val="24"/>
        </w:rPr>
        <w:t>-containing lipoproteins may feed cholesterol into the TICE pathway since reducing hepatic VLDL secretion decreased fecal cholesterol excretion in L1Tg mice (3).  Although most of the molecular pathways contributing to TICE are undefined, we recently reported that flavin m</w:t>
      </w:r>
      <w:r w:rsidRPr="00142938">
        <w:rPr>
          <w:rFonts w:ascii="Arial" w:eastAsia="Times New Roman" w:hAnsi="Arial" w:cs="Arial"/>
          <w:szCs w:val="24"/>
        </w:rPr>
        <w:t>onooxygenase 3</w:t>
      </w:r>
      <w:r>
        <w:rPr>
          <w:rFonts w:ascii="Arial" w:eastAsia="Times New Roman" w:hAnsi="Arial" w:cs="Arial"/>
          <w:szCs w:val="24"/>
        </w:rPr>
        <w:t xml:space="preserve"> (FMO3), a central regulator of cholesterol balance, was dramatically reduced in L1Tg mice (4).  We believe our ongoing studies on TICE could lead to</w:t>
      </w:r>
      <w:r w:rsidRPr="00AA184B">
        <w:rPr>
          <w:rFonts w:ascii="Arial" w:eastAsia="Times New Roman" w:hAnsi="Arial" w:cs="Arial"/>
          <w:szCs w:val="24"/>
        </w:rPr>
        <w:t xml:space="preserve"> TICE-stimulating therap</w:t>
      </w:r>
      <w:r>
        <w:rPr>
          <w:rFonts w:ascii="Arial" w:eastAsia="Times New Roman" w:hAnsi="Arial" w:cs="Arial"/>
          <w:szCs w:val="24"/>
        </w:rPr>
        <w:t>ies that could be used to reduce the risk of CHD</w:t>
      </w:r>
      <w:r w:rsidRPr="00AA184B">
        <w:rPr>
          <w:rFonts w:ascii="Arial" w:eastAsia="Times New Roman" w:hAnsi="Arial" w:cs="Arial"/>
          <w:szCs w:val="24"/>
        </w:rPr>
        <w:t>.</w:t>
      </w:r>
    </w:p>
    <w:p w14:paraId="5E5C942F" w14:textId="77777777" w:rsidR="00A1776B" w:rsidRPr="00A2407F" w:rsidRDefault="00A1776B" w:rsidP="00A1776B">
      <w:pPr>
        <w:pStyle w:val="ListParagraph"/>
        <w:numPr>
          <w:ilvl w:val="0"/>
          <w:numId w:val="9"/>
        </w:numPr>
        <w:ind w:left="270" w:hanging="270"/>
        <w:jc w:val="both"/>
        <w:rPr>
          <w:rFonts w:ascii="Arial" w:eastAsia="Times New Roman" w:hAnsi="Arial"/>
          <w:sz w:val="22"/>
          <w:szCs w:val="22"/>
        </w:rPr>
      </w:pPr>
      <w:r w:rsidRPr="00A2407F">
        <w:rPr>
          <w:rFonts w:ascii="Arial" w:eastAsia="Times New Roman" w:hAnsi="Arial"/>
          <w:sz w:val="22"/>
          <w:szCs w:val="22"/>
        </w:rPr>
        <w:t xml:space="preserve">Hepatic Niemann-Pick C1-like 1 regulates biliary cholesterol concentration and is a target of ezetimibe. </w:t>
      </w:r>
      <w:r w:rsidRPr="00056D78">
        <w:rPr>
          <w:rFonts w:ascii="Arial" w:eastAsia="Times New Roman" w:hAnsi="Arial"/>
          <w:b/>
          <w:sz w:val="22"/>
          <w:szCs w:val="22"/>
        </w:rPr>
        <w:t>Temel RE</w:t>
      </w:r>
      <w:r w:rsidRPr="00A2407F">
        <w:rPr>
          <w:rFonts w:ascii="Arial" w:eastAsia="Times New Roman" w:hAnsi="Arial"/>
          <w:sz w:val="22"/>
          <w:szCs w:val="22"/>
        </w:rPr>
        <w:t xml:space="preserve">, Tang W, Ma Y, </w:t>
      </w:r>
      <w:proofErr w:type="spellStart"/>
      <w:r w:rsidRPr="00A2407F">
        <w:rPr>
          <w:rFonts w:ascii="Arial" w:eastAsia="Times New Roman" w:hAnsi="Arial"/>
          <w:sz w:val="22"/>
          <w:szCs w:val="22"/>
        </w:rPr>
        <w:t>Rudel</w:t>
      </w:r>
      <w:proofErr w:type="spellEnd"/>
      <w:r w:rsidRPr="00A2407F">
        <w:rPr>
          <w:rFonts w:ascii="Arial" w:eastAsia="Times New Roman" w:hAnsi="Arial"/>
          <w:sz w:val="22"/>
          <w:szCs w:val="22"/>
        </w:rPr>
        <w:t xml:space="preserve"> LL, Willingham MC, </w:t>
      </w:r>
      <w:proofErr w:type="spellStart"/>
      <w:r w:rsidRPr="00A2407F">
        <w:rPr>
          <w:rFonts w:ascii="Arial" w:eastAsia="Times New Roman" w:hAnsi="Arial"/>
          <w:sz w:val="22"/>
          <w:szCs w:val="22"/>
        </w:rPr>
        <w:t>Ioannou</w:t>
      </w:r>
      <w:proofErr w:type="spellEnd"/>
      <w:r w:rsidRPr="00A2407F">
        <w:rPr>
          <w:rFonts w:ascii="Arial" w:eastAsia="Times New Roman" w:hAnsi="Arial"/>
          <w:sz w:val="22"/>
          <w:szCs w:val="22"/>
        </w:rPr>
        <w:t xml:space="preserve"> YA, Davies JP, Nilsson LM, Yu L. J </w:t>
      </w:r>
      <w:proofErr w:type="spellStart"/>
      <w:r w:rsidRPr="00A2407F">
        <w:rPr>
          <w:rFonts w:ascii="Arial" w:eastAsia="Times New Roman" w:hAnsi="Arial"/>
          <w:sz w:val="22"/>
          <w:szCs w:val="22"/>
        </w:rPr>
        <w:t>Clin</w:t>
      </w:r>
      <w:proofErr w:type="spellEnd"/>
      <w:r w:rsidRPr="00A2407F">
        <w:rPr>
          <w:rFonts w:ascii="Arial" w:eastAsia="Times New Roman" w:hAnsi="Arial"/>
          <w:sz w:val="22"/>
          <w:szCs w:val="22"/>
        </w:rPr>
        <w:t xml:space="preserve"> Invest. 200</w:t>
      </w:r>
      <w:r>
        <w:rPr>
          <w:rFonts w:ascii="Arial" w:eastAsia="Times New Roman" w:hAnsi="Arial"/>
          <w:sz w:val="22"/>
          <w:szCs w:val="22"/>
        </w:rPr>
        <w:t>7;117:1968-78</w:t>
      </w:r>
    </w:p>
    <w:p w14:paraId="20ADC05E" w14:textId="77777777" w:rsidR="00A1776B" w:rsidRPr="00A2407F" w:rsidRDefault="00A1776B" w:rsidP="00A1776B">
      <w:pPr>
        <w:pStyle w:val="ListParagraph"/>
        <w:numPr>
          <w:ilvl w:val="0"/>
          <w:numId w:val="9"/>
        </w:numPr>
        <w:ind w:left="270" w:hanging="270"/>
        <w:jc w:val="both"/>
        <w:rPr>
          <w:rFonts w:ascii="Arial" w:eastAsia="Times New Roman" w:hAnsi="Arial"/>
          <w:sz w:val="22"/>
          <w:szCs w:val="22"/>
        </w:rPr>
      </w:pPr>
      <w:r w:rsidRPr="00A2407F">
        <w:rPr>
          <w:rFonts w:ascii="Arial" w:eastAsia="Times New Roman" w:hAnsi="Arial"/>
          <w:sz w:val="22"/>
          <w:szCs w:val="22"/>
        </w:rPr>
        <w:t xml:space="preserve">Biliary sterol secretion is not required for macrophage reverse cholesterol transport. </w:t>
      </w:r>
      <w:r w:rsidRPr="00056D78">
        <w:rPr>
          <w:rFonts w:ascii="Arial" w:eastAsia="Times New Roman" w:hAnsi="Arial"/>
          <w:b/>
          <w:sz w:val="22"/>
          <w:szCs w:val="22"/>
        </w:rPr>
        <w:t>Temel RE</w:t>
      </w:r>
      <w:r w:rsidRPr="00A2407F">
        <w:rPr>
          <w:rFonts w:ascii="Arial" w:eastAsia="Times New Roman" w:hAnsi="Arial"/>
          <w:sz w:val="22"/>
          <w:szCs w:val="22"/>
        </w:rPr>
        <w:t xml:space="preserve">, Sawyer JK, Yu L, Lord C, </w:t>
      </w:r>
      <w:proofErr w:type="spellStart"/>
      <w:r w:rsidRPr="00A2407F">
        <w:rPr>
          <w:rFonts w:ascii="Arial" w:eastAsia="Times New Roman" w:hAnsi="Arial"/>
          <w:sz w:val="22"/>
          <w:szCs w:val="22"/>
        </w:rPr>
        <w:t>Degirolamo</w:t>
      </w:r>
      <w:proofErr w:type="spellEnd"/>
      <w:r w:rsidRPr="00A2407F">
        <w:rPr>
          <w:rFonts w:ascii="Arial" w:eastAsia="Times New Roman" w:hAnsi="Arial"/>
          <w:sz w:val="22"/>
          <w:szCs w:val="22"/>
        </w:rPr>
        <w:t xml:space="preserve"> C, McDaniel A, Marshall S, Wang N, Shah R, </w:t>
      </w:r>
      <w:proofErr w:type="spellStart"/>
      <w:r w:rsidRPr="00A2407F">
        <w:rPr>
          <w:rFonts w:ascii="Arial" w:eastAsia="Times New Roman" w:hAnsi="Arial"/>
          <w:sz w:val="22"/>
          <w:szCs w:val="22"/>
        </w:rPr>
        <w:t>Rudel</w:t>
      </w:r>
      <w:proofErr w:type="spellEnd"/>
      <w:r w:rsidRPr="00A2407F">
        <w:rPr>
          <w:rFonts w:ascii="Arial" w:eastAsia="Times New Roman" w:hAnsi="Arial"/>
          <w:sz w:val="22"/>
          <w:szCs w:val="22"/>
        </w:rPr>
        <w:t xml:space="preserve"> LL, Brown JM. Cell </w:t>
      </w:r>
      <w:proofErr w:type="spellStart"/>
      <w:r w:rsidRPr="00A2407F">
        <w:rPr>
          <w:rFonts w:ascii="Arial" w:eastAsia="Times New Roman" w:hAnsi="Arial"/>
          <w:sz w:val="22"/>
          <w:szCs w:val="22"/>
        </w:rPr>
        <w:t>Metab</w:t>
      </w:r>
      <w:proofErr w:type="spellEnd"/>
      <w:r w:rsidRPr="00A2407F">
        <w:rPr>
          <w:rFonts w:ascii="Arial" w:eastAsia="Times New Roman" w:hAnsi="Arial"/>
          <w:sz w:val="22"/>
          <w:szCs w:val="22"/>
        </w:rPr>
        <w:t>. 2</w:t>
      </w:r>
      <w:r>
        <w:rPr>
          <w:rFonts w:ascii="Arial" w:eastAsia="Times New Roman" w:hAnsi="Arial"/>
          <w:sz w:val="22"/>
          <w:szCs w:val="22"/>
        </w:rPr>
        <w:t>010;12:96-102</w:t>
      </w:r>
    </w:p>
    <w:p w14:paraId="44B9A233" w14:textId="77777777" w:rsidR="00A1776B" w:rsidRPr="00A2407F" w:rsidRDefault="00A1776B" w:rsidP="00A1776B">
      <w:pPr>
        <w:pStyle w:val="ListParagraph"/>
        <w:numPr>
          <w:ilvl w:val="0"/>
          <w:numId w:val="9"/>
        </w:numPr>
        <w:ind w:left="270" w:hanging="270"/>
        <w:jc w:val="both"/>
        <w:rPr>
          <w:rFonts w:ascii="Arial" w:eastAsia="Times New Roman" w:hAnsi="Arial"/>
          <w:sz w:val="22"/>
          <w:szCs w:val="22"/>
        </w:rPr>
      </w:pPr>
      <w:r w:rsidRPr="00A2407F">
        <w:rPr>
          <w:rFonts w:ascii="Arial" w:eastAsia="Times New Roman" w:hAnsi="Arial"/>
          <w:sz w:val="22"/>
          <w:szCs w:val="22"/>
        </w:rPr>
        <w:t xml:space="preserve">Reduction of VLDL secretion decreases cholesterol excretion in Niemann-Pick C1-like 1 hepatic transgenic mice. Marshall SM, Kelley KL, Davis MA, Wilson MD, McDaniel AL, Lee RG, Crooke RM, Graham MJ, </w:t>
      </w:r>
      <w:proofErr w:type="spellStart"/>
      <w:r w:rsidRPr="00A2407F">
        <w:rPr>
          <w:rFonts w:ascii="Arial" w:eastAsia="Times New Roman" w:hAnsi="Arial"/>
          <w:sz w:val="22"/>
          <w:szCs w:val="22"/>
        </w:rPr>
        <w:t>Rudel</w:t>
      </w:r>
      <w:proofErr w:type="spellEnd"/>
      <w:r w:rsidRPr="00A2407F">
        <w:rPr>
          <w:rFonts w:ascii="Arial" w:eastAsia="Times New Roman" w:hAnsi="Arial"/>
          <w:sz w:val="22"/>
          <w:szCs w:val="22"/>
        </w:rPr>
        <w:t xml:space="preserve"> LL, Brown JM, </w:t>
      </w:r>
      <w:r w:rsidRPr="00056D78">
        <w:rPr>
          <w:rFonts w:ascii="Arial" w:eastAsia="Times New Roman" w:hAnsi="Arial"/>
          <w:b/>
          <w:sz w:val="22"/>
          <w:szCs w:val="22"/>
        </w:rPr>
        <w:t>Temel RE</w:t>
      </w:r>
      <w:r w:rsidRPr="00A2407F">
        <w:rPr>
          <w:rFonts w:ascii="Arial" w:eastAsia="Times New Roman" w:hAnsi="Arial"/>
          <w:sz w:val="22"/>
          <w:szCs w:val="22"/>
        </w:rPr>
        <w:t xml:space="preserve">. </w:t>
      </w:r>
      <w:proofErr w:type="spellStart"/>
      <w:r w:rsidRPr="00A2407F">
        <w:rPr>
          <w:rFonts w:ascii="Arial" w:eastAsia="Times New Roman" w:hAnsi="Arial"/>
          <w:sz w:val="22"/>
          <w:szCs w:val="22"/>
        </w:rPr>
        <w:t>PLoS</w:t>
      </w:r>
      <w:proofErr w:type="spellEnd"/>
      <w:r w:rsidRPr="00A2407F">
        <w:rPr>
          <w:rFonts w:ascii="Arial" w:eastAsia="Times New Roman" w:hAnsi="Arial"/>
          <w:sz w:val="22"/>
          <w:szCs w:val="22"/>
        </w:rPr>
        <w:t xml:space="preserve"> One.</w:t>
      </w:r>
      <w:r>
        <w:rPr>
          <w:rFonts w:ascii="Arial" w:eastAsia="Times New Roman" w:hAnsi="Arial"/>
          <w:sz w:val="22"/>
          <w:szCs w:val="22"/>
        </w:rPr>
        <w:t xml:space="preserve"> 2014;9:e84418</w:t>
      </w:r>
    </w:p>
    <w:p w14:paraId="20906661" w14:textId="77777777" w:rsidR="00A1776B" w:rsidRDefault="00A1776B" w:rsidP="00A1776B">
      <w:pPr>
        <w:pStyle w:val="ListParagraph"/>
        <w:numPr>
          <w:ilvl w:val="0"/>
          <w:numId w:val="9"/>
        </w:numPr>
        <w:ind w:left="270" w:hanging="270"/>
        <w:jc w:val="both"/>
        <w:rPr>
          <w:rFonts w:ascii="Arial" w:eastAsia="Times New Roman" w:hAnsi="Arial"/>
          <w:sz w:val="22"/>
          <w:szCs w:val="22"/>
        </w:rPr>
      </w:pPr>
      <w:r w:rsidRPr="00A2407F">
        <w:rPr>
          <w:rFonts w:ascii="Arial" w:eastAsia="Times New Roman" w:hAnsi="Arial"/>
          <w:sz w:val="22"/>
          <w:szCs w:val="22"/>
        </w:rPr>
        <w:t xml:space="preserve">The TMAO-Generating Enzyme Flavin Monooxygenase 3 Is a Central Regulator of Cholesterol Balance. </w:t>
      </w:r>
      <w:proofErr w:type="spellStart"/>
      <w:r w:rsidRPr="00A2407F">
        <w:rPr>
          <w:rFonts w:ascii="Arial" w:eastAsia="Times New Roman" w:hAnsi="Arial"/>
          <w:sz w:val="22"/>
          <w:szCs w:val="22"/>
        </w:rPr>
        <w:t>Warrier</w:t>
      </w:r>
      <w:proofErr w:type="spellEnd"/>
      <w:r w:rsidRPr="00A2407F">
        <w:rPr>
          <w:rFonts w:ascii="Arial" w:eastAsia="Times New Roman" w:hAnsi="Arial"/>
          <w:sz w:val="22"/>
          <w:szCs w:val="22"/>
        </w:rPr>
        <w:t xml:space="preserve"> M, Shih DM, Burrows AC, Ferguson D, </w:t>
      </w:r>
      <w:proofErr w:type="spellStart"/>
      <w:r w:rsidRPr="00A2407F">
        <w:rPr>
          <w:rFonts w:ascii="Arial" w:eastAsia="Times New Roman" w:hAnsi="Arial"/>
          <w:sz w:val="22"/>
          <w:szCs w:val="22"/>
        </w:rPr>
        <w:t>Gromovsky</w:t>
      </w:r>
      <w:proofErr w:type="spellEnd"/>
      <w:r w:rsidRPr="00A2407F">
        <w:rPr>
          <w:rFonts w:ascii="Arial" w:eastAsia="Times New Roman" w:hAnsi="Arial"/>
          <w:sz w:val="22"/>
          <w:szCs w:val="22"/>
        </w:rPr>
        <w:t xml:space="preserve"> AD, Brown AL, Marshall S, McDaniel A, </w:t>
      </w:r>
      <w:proofErr w:type="spellStart"/>
      <w:r w:rsidRPr="00A2407F">
        <w:rPr>
          <w:rFonts w:ascii="Arial" w:eastAsia="Times New Roman" w:hAnsi="Arial"/>
          <w:sz w:val="22"/>
          <w:szCs w:val="22"/>
        </w:rPr>
        <w:t>Schugar</w:t>
      </w:r>
      <w:proofErr w:type="spellEnd"/>
      <w:r w:rsidRPr="00A2407F">
        <w:rPr>
          <w:rFonts w:ascii="Arial" w:eastAsia="Times New Roman" w:hAnsi="Arial"/>
          <w:sz w:val="22"/>
          <w:szCs w:val="22"/>
        </w:rPr>
        <w:t xml:space="preserve"> RC, Wang Z, Sacks J, </w:t>
      </w:r>
      <w:proofErr w:type="spellStart"/>
      <w:r w:rsidRPr="00A2407F">
        <w:rPr>
          <w:rFonts w:ascii="Arial" w:eastAsia="Times New Roman" w:hAnsi="Arial"/>
          <w:sz w:val="22"/>
          <w:szCs w:val="22"/>
        </w:rPr>
        <w:t>Rong</w:t>
      </w:r>
      <w:proofErr w:type="spellEnd"/>
      <w:r w:rsidRPr="00A2407F">
        <w:rPr>
          <w:rFonts w:ascii="Arial" w:eastAsia="Times New Roman" w:hAnsi="Arial"/>
          <w:sz w:val="22"/>
          <w:szCs w:val="22"/>
        </w:rPr>
        <w:t xml:space="preserve"> X, Vallim TA, Chou J, Ivanova PT, Myers DS, Brown HA, Lee RG, Crooke RM, Graham MJ, Liu X, Parini P, </w:t>
      </w:r>
      <w:proofErr w:type="spellStart"/>
      <w:r w:rsidRPr="00A2407F">
        <w:rPr>
          <w:rFonts w:ascii="Arial" w:eastAsia="Times New Roman" w:hAnsi="Arial"/>
          <w:sz w:val="22"/>
          <w:szCs w:val="22"/>
        </w:rPr>
        <w:t>Tontonoz</w:t>
      </w:r>
      <w:proofErr w:type="spellEnd"/>
      <w:r w:rsidRPr="00A2407F">
        <w:rPr>
          <w:rFonts w:ascii="Arial" w:eastAsia="Times New Roman" w:hAnsi="Arial"/>
          <w:sz w:val="22"/>
          <w:szCs w:val="22"/>
        </w:rPr>
        <w:t xml:space="preserve"> P, </w:t>
      </w:r>
      <w:proofErr w:type="spellStart"/>
      <w:r w:rsidRPr="00A2407F">
        <w:rPr>
          <w:rFonts w:ascii="Arial" w:eastAsia="Times New Roman" w:hAnsi="Arial"/>
          <w:sz w:val="22"/>
          <w:szCs w:val="22"/>
        </w:rPr>
        <w:t>Lusis</w:t>
      </w:r>
      <w:proofErr w:type="spellEnd"/>
      <w:r w:rsidRPr="00A2407F">
        <w:rPr>
          <w:rFonts w:ascii="Arial" w:eastAsia="Times New Roman" w:hAnsi="Arial"/>
          <w:sz w:val="22"/>
          <w:szCs w:val="22"/>
        </w:rPr>
        <w:t xml:space="preserve"> AJ, Hazen SL, </w:t>
      </w:r>
      <w:r w:rsidRPr="00EE096B">
        <w:rPr>
          <w:rFonts w:ascii="Arial" w:eastAsia="Times New Roman" w:hAnsi="Arial"/>
          <w:b/>
          <w:sz w:val="22"/>
          <w:szCs w:val="22"/>
        </w:rPr>
        <w:t>Temel RE</w:t>
      </w:r>
      <w:r w:rsidRPr="00A2407F">
        <w:rPr>
          <w:rFonts w:ascii="Arial" w:eastAsia="Times New Roman" w:hAnsi="Arial"/>
          <w:sz w:val="22"/>
          <w:szCs w:val="22"/>
        </w:rPr>
        <w:t>, Brown JM. Cell Rep. 2015;10:326-338.</w:t>
      </w:r>
    </w:p>
    <w:p w14:paraId="3FC71CE1" w14:textId="424FDC12" w:rsidR="007E5075" w:rsidRDefault="007E5075" w:rsidP="0039181A">
      <w:pPr>
        <w:spacing w:after="0"/>
        <w:rPr>
          <w:rFonts w:ascii="Arial" w:eastAsia="Times New Roman" w:hAnsi="Arial"/>
        </w:rPr>
      </w:pPr>
    </w:p>
    <w:p w14:paraId="1E184343" w14:textId="5EC819AC" w:rsidR="00AD21A3" w:rsidRPr="0039181A" w:rsidRDefault="00AD21A3" w:rsidP="0039181A">
      <w:pPr>
        <w:spacing w:after="0" w:line="240" w:lineRule="auto"/>
        <w:rPr>
          <w:rFonts w:ascii="Arial" w:eastAsia="Times New Roman" w:hAnsi="Arial"/>
          <w:b/>
        </w:rPr>
      </w:pPr>
      <w:r w:rsidRPr="0039181A">
        <w:rPr>
          <w:rFonts w:ascii="Arial" w:eastAsia="Times New Roman" w:hAnsi="Arial"/>
          <w:b/>
        </w:rPr>
        <w:t>Complete List of Published Work in My</w:t>
      </w:r>
      <w:r w:rsidR="00693086">
        <w:rPr>
          <w:rFonts w:ascii="Arial" w:eastAsia="Times New Roman" w:hAnsi="Arial"/>
          <w:b/>
        </w:rPr>
        <w:t xml:space="preserve"> </w:t>
      </w:r>
      <w:r w:rsidRPr="0039181A">
        <w:rPr>
          <w:rFonts w:ascii="Arial" w:eastAsia="Times New Roman" w:hAnsi="Arial"/>
          <w:b/>
        </w:rPr>
        <w:t>Bibliography:</w:t>
      </w:r>
    </w:p>
    <w:p w14:paraId="42BEC949" w14:textId="2A72CE93" w:rsidR="00AA184B" w:rsidRDefault="00400A92" w:rsidP="0039181A">
      <w:pPr>
        <w:spacing w:after="0" w:line="240" w:lineRule="auto"/>
        <w:rPr>
          <w:rStyle w:val="Hyperlink"/>
          <w:rFonts w:ascii="Arial" w:eastAsia="Times New Roman" w:hAnsi="Arial"/>
          <w:b/>
        </w:rPr>
      </w:pPr>
      <w:hyperlink r:id="rId6" w:history="1">
        <w:r w:rsidR="005D30A2" w:rsidRPr="005D30A2">
          <w:rPr>
            <w:rStyle w:val="Hyperlink"/>
            <w:rFonts w:ascii="Arial" w:eastAsia="Times New Roman" w:hAnsi="Arial"/>
            <w:b/>
          </w:rPr>
          <w:t>http://www.ncbi.nlm.nih.gov/sites/myncbi/ryan.temel.1/bibliograpahy/40455165/public/?sort=date&amp;direction=ascending</w:t>
        </w:r>
      </w:hyperlink>
    </w:p>
    <w:p w14:paraId="059C77F1" w14:textId="77777777" w:rsidR="0039181A" w:rsidRPr="005D30A2" w:rsidRDefault="0039181A" w:rsidP="0039181A">
      <w:pPr>
        <w:spacing w:after="0" w:line="240" w:lineRule="auto"/>
        <w:rPr>
          <w:rFonts w:ascii="Arial" w:eastAsia="Times New Roman" w:hAnsi="Arial"/>
        </w:rPr>
      </w:pPr>
    </w:p>
    <w:p w14:paraId="2C3CD069" w14:textId="77777777" w:rsidR="00786B26" w:rsidRPr="00786B26" w:rsidRDefault="00786B26" w:rsidP="00786B26">
      <w:pPr>
        <w:numPr>
          <w:ilvl w:val="0"/>
          <w:numId w:val="1"/>
        </w:numPr>
        <w:spacing w:after="0" w:line="240" w:lineRule="auto"/>
        <w:contextualSpacing/>
        <w:rPr>
          <w:rFonts w:ascii="Arial" w:eastAsia="Calibri" w:hAnsi="Arial" w:cs="Arial"/>
          <w:iCs/>
        </w:rPr>
      </w:pPr>
      <w:r w:rsidRPr="00786B26">
        <w:rPr>
          <w:rFonts w:ascii="Arial" w:eastAsia="Calibri" w:hAnsi="Arial" w:cs="Arial"/>
          <w:b/>
          <w:iCs/>
        </w:rPr>
        <w:t>Research Support</w:t>
      </w:r>
    </w:p>
    <w:p w14:paraId="34140C49" w14:textId="54A4EB85" w:rsidR="00786B26" w:rsidRPr="00786B26" w:rsidRDefault="001263C6" w:rsidP="00786B26">
      <w:pPr>
        <w:spacing w:after="0" w:line="240" w:lineRule="auto"/>
        <w:jc w:val="both"/>
        <w:rPr>
          <w:rFonts w:ascii="Arial" w:eastAsia="Calibri" w:hAnsi="Arial" w:cs="Arial"/>
          <w:u w:val="single"/>
        </w:rPr>
      </w:pPr>
      <w:r>
        <w:rPr>
          <w:rFonts w:ascii="Arial" w:eastAsia="Calibri" w:hAnsi="Arial" w:cs="Arial"/>
          <w:u w:val="single"/>
        </w:rPr>
        <w:t>Current</w:t>
      </w:r>
    </w:p>
    <w:p w14:paraId="1E8E9FB4" w14:textId="3AD4975A" w:rsidR="008435D7" w:rsidRPr="001263C6" w:rsidRDefault="008435D7" w:rsidP="008435D7">
      <w:pPr>
        <w:spacing w:after="0" w:line="240" w:lineRule="auto"/>
        <w:rPr>
          <w:rFonts w:ascii="Arial" w:eastAsia="Calibri" w:hAnsi="Arial" w:cs="Arial"/>
        </w:rPr>
      </w:pPr>
      <w:r>
        <w:rPr>
          <w:rFonts w:ascii="Arial" w:eastAsia="Calibri" w:hAnsi="Arial" w:cs="Arial"/>
        </w:rPr>
        <w:t xml:space="preserve">Title: </w:t>
      </w:r>
      <w:r w:rsidRPr="008435D7">
        <w:rPr>
          <w:rFonts w:ascii="Arial" w:eastAsia="Calibri" w:hAnsi="Arial" w:cs="Arial"/>
          <w:i/>
        </w:rPr>
        <w:t>Therapeutic targeting of metabolic microRNAs as a new treatment paradigm for NASH</w:t>
      </w:r>
    </w:p>
    <w:p w14:paraId="48E76D84" w14:textId="16534D74" w:rsidR="008435D7" w:rsidRPr="001263C6" w:rsidRDefault="008435D7" w:rsidP="008435D7">
      <w:pPr>
        <w:spacing w:after="0" w:line="240" w:lineRule="auto"/>
        <w:rPr>
          <w:rFonts w:ascii="Arial" w:eastAsia="Calibri" w:hAnsi="Arial" w:cs="Arial"/>
        </w:rPr>
      </w:pPr>
      <w:r w:rsidRPr="001263C6">
        <w:rPr>
          <w:rFonts w:ascii="Arial" w:eastAsia="Calibri" w:hAnsi="Arial" w:cs="Arial"/>
        </w:rPr>
        <w:t>P</w:t>
      </w:r>
      <w:r>
        <w:rPr>
          <w:rFonts w:ascii="Arial" w:eastAsia="Calibri" w:hAnsi="Arial" w:cs="Arial"/>
        </w:rPr>
        <w:t xml:space="preserve">rincipal Investigator: </w:t>
      </w:r>
      <w:r w:rsidR="00DD3BDE">
        <w:rPr>
          <w:rFonts w:ascii="Arial" w:eastAsia="Calibri" w:hAnsi="Arial" w:cs="Arial"/>
        </w:rPr>
        <w:t>Sakari Kauppinen</w:t>
      </w:r>
    </w:p>
    <w:p w14:paraId="53D111C1" w14:textId="7D6AAA92" w:rsidR="008435D7" w:rsidRPr="008435D7" w:rsidRDefault="008435D7" w:rsidP="008435D7">
      <w:pPr>
        <w:spacing w:after="0" w:line="240" w:lineRule="auto"/>
        <w:rPr>
          <w:rFonts w:ascii="Arial" w:eastAsia="Calibri" w:hAnsi="Arial" w:cs="Arial"/>
        </w:rPr>
      </w:pPr>
      <w:r>
        <w:rPr>
          <w:rFonts w:ascii="Arial" w:eastAsia="Calibri" w:hAnsi="Arial" w:cs="Arial"/>
        </w:rPr>
        <w:t>Co-</w:t>
      </w:r>
      <w:r w:rsidRPr="008435D7">
        <w:rPr>
          <w:rFonts w:ascii="Arial" w:eastAsia="Calibri" w:hAnsi="Arial" w:cs="Arial"/>
        </w:rPr>
        <w:t>Investigator:  Ryan E. Temel</w:t>
      </w:r>
    </w:p>
    <w:p w14:paraId="16A2F7D3" w14:textId="6C7E8728" w:rsidR="008435D7" w:rsidRPr="008435D7" w:rsidRDefault="008435D7" w:rsidP="008435D7">
      <w:pPr>
        <w:spacing w:after="0" w:line="240" w:lineRule="auto"/>
        <w:rPr>
          <w:rFonts w:ascii="Arial" w:eastAsia="Calibri" w:hAnsi="Arial" w:cs="Arial"/>
        </w:rPr>
      </w:pPr>
      <w:r w:rsidRPr="008435D7">
        <w:rPr>
          <w:rFonts w:ascii="Arial" w:eastAsia="Calibri" w:hAnsi="Arial" w:cs="Arial"/>
        </w:rPr>
        <w:t xml:space="preserve">Agency:  </w:t>
      </w:r>
      <w:r w:rsidRPr="001263C6">
        <w:rPr>
          <w:rFonts w:ascii="Arial" w:eastAsia="Calibri" w:hAnsi="Arial" w:cs="Arial"/>
        </w:rPr>
        <w:t>Novo Nordisk Foundation</w:t>
      </w:r>
    </w:p>
    <w:p w14:paraId="050A23E9" w14:textId="6F41DCC0" w:rsidR="008435D7" w:rsidRPr="008435D7" w:rsidRDefault="008435D7" w:rsidP="008435D7">
      <w:pPr>
        <w:spacing w:after="0" w:line="240" w:lineRule="auto"/>
        <w:rPr>
          <w:rFonts w:ascii="Arial" w:eastAsia="Calibri" w:hAnsi="Arial" w:cs="Arial"/>
        </w:rPr>
      </w:pPr>
      <w:r w:rsidRPr="008435D7">
        <w:rPr>
          <w:rFonts w:ascii="Arial" w:eastAsia="Calibri" w:hAnsi="Arial" w:cs="Arial"/>
        </w:rPr>
        <w:t xml:space="preserve">Grant No.: </w:t>
      </w:r>
      <w:r w:rsidRPr="001263C6">
        <w:rPr>
          <w:rFonts w:ascii="Arial" w:eastAsia="Calibri" w:hAnsi="Arial" w:cs="Arial"/>
        </w:rPr>
        <w:t>33438</w:t>
      </w:r>
      <w:r w:rsidRPr="001263C6">
        <w:rPr>
          <w:rFonts w:ascii="Arial" w:eastAsia="Calibri" w:hAnsi="Arial" w:cs="Arial"/>
        </w:rPr>
        <w:tab/>
      </w:r>
    </w:p>
    <w:p w14:paraId="286A54ED" w14:textId="77777777" w:rsidR="008435D7" w:rsidRDefault="008435D7" w:rsidP="008435D7">
      <w:pPr>
        <w:spacing w:after="0" w:line="240" w:lineRule="auto"/>
        <w:rPr>
          <w:rFonts w:ascii="Arial" w:eastAsia="Calibri" w:hAnsi="Arial" w:cs="Arial"/>
        </w:rPr>
      </w:pPr>
      <w:r w:rsidRPr="008435D7">
        <w:rPr>
          <w:rFonts w:ascii="Arial" w:eastAsia="Calibri" w:hAnsi="Arial" w:cs="Arial"/>
        </w:rPr>
        <w:t>Period: 1/1/2019– 12/31/2024</w:t>
      </w:r>
    </w:p>
    <w:p w14:paraId="377A23C8" w14:textId="06878BF8" w:rsidR="008435D7" w:rsidRPr="008435D7" w:rsidRDefault="008435D7" w:rsidP="008435D7">
      <w:pPr>
        <w:spacing w:after="0" w:line="240" w:lineRule="auto"/>
        <w:rPr>
          <w:rFonts w:ascii="Arial" w:eastAsia="Calibri" w:hAnsi="Arial" w:cs="Arial"/>
        </w:rPr>
      </w:pPr>
      <w:r w:rsidRPr="008435D7">
        <w:rPr>
          <w:rFonts w:ascii="Arial" w:eastAsia="Calibri" w:hAnsi="Arial" w:cs="Arial"/>
        </w:rPr>
        <w:t xml:space="preserve">Major Goal of Research:  </w:t>
      </w:r>
      <w:r>
        <w:rPr>
          <w:rFonts w:ascii="Arial" w:eastAsia="Calibri" w:hAnsi="Arial" w:cs="Arial"/>
        </w:rPr>
        <w:t>I</w:t>
      </w:r>
      <w:r w:rsidRPr="008435D7">
        <w:rPr>
          <w:rFonts w:ascii="Arial" w:eastAsia="Calibri" w:hAnsi="Arial" w:cs="Arial"/>
        </w:rPr>
        <w:t xml:space="preserve">dentify </w:t>
      </w:r>
      <w:proofErr w:type="spellStart"/>
      <w:r w:rsidRPr="008435D7">
        <w:rPr>
          <w:rFonts w:ascii="Arial" w:eastAsia="Calibri" w:hAnsi="Arial" w:cs="Arial"/>
        </w:rPr>
        <w:t>antimiR</w:t>
      </w:r>
      <w:proofErr w:type="spellEnd"/>
      <w:r w:rsidRPr="008435D7">
        <w:rPr>
          <w:rFonts w:ascii="Arial" w:eastAsia="Calibri" w:hAnsi="Arial" w:cs="Arial"/>
        </w:rPr>
        <w:t xml:space="preserve"> compounds for effective and safe inhibition of miR-128-1</w:t>
      </w:r>
    </w:p>
    <w:p w14:paraId="63BB8A05" w14:textId="77777777" w:rsidR="008435D7" w:rsidRPr="008435D7" w:rsidRDefault="008435D7" w:rsidP="008435D7">
      <w:pPr>
        <w:spacing w:after="0" w:line="240" w:lineRule="auto"/>
        <w:rPr>
          <w:rFonts w:ascii="Arial" w:eastAsia="Calibri" w:hAnsi="Arial" w:cs="Arial"/>
        </w:rPr>
      </w:pPr>
      <w:r w:rsidRPr="008435D7">
        <w:rPr>
          <w:rFonts w:ascii="Arial" w:eastAsia="Calibri" w:hAnsi="Arial" w:cs="Arial"/>
        </w:rPr>
        <w:t>and miR-22 and assess their therapeutic potential to treat NASH in highly relevant mouse and non-human</w:t>
      </w:r>
    </w:p>
    <w:p w14:paraId="63BA556A" w14:textId="4183C1B1" w:rsidR="008435D7" w:rsidRDefault="008435D7" w:rsidP="008435D7">
      <w:pPr>
        <w:spacing w:after="0" w:line="240" w:lineRule="auto"/>
        <w:rPr>
          <w:rFonts w:ascii="Arial" w:eastAsia="Calibri" w:hAnsi="Arial" w:cs="Arial"/>
        </w:rPr>
      </w:pPr>
      <w:r w:rsidRPr="008435D7">
        <w:rPr>
          <w:rFonts w:ascii="Arial" w:eastAsia="Calibri" w:hAnsi="Arial" w:cs="Arial"/>
        </w:rPr>
        <w:t>primate NASH models.</w:t>
      </w:r>
    </w:p>
    <w:p w14:paraId="76AA87DA" w14:textId="072AAD43" w:rsidR="00DD3BDE" w:rsidRDefault="00DD3BDE" w:rsidP="008435D7">
      <w:pPr>
        <w:spacing w:after="0" w:line="240" w:lineRule="auto"/>
        <w:rPr>
          <w:rFonts w:ascii="Arial" w:eastAsia="Calibri" w:hAnsi="Arial" w:cs="Arial"/>
        </w:rPr>
      </w:pPr>
    </w:p>
    <w:p w14:paraId="05957A2C" w14:textId="7DDB8F43" w:rsidR="00DD3BDE" w:rsidRPr="008435D7" w:rsidRDefault="00DD3BDE" w:rsidP="00DD3BDE">
      <w:pPr>
        <w:spacing w:after="0" w:line="240" w:lineRule="auto"/>
        <w:rPr>
          <w:rFonts w:ascii="Arial" w:eastAsia="Calibri" w:hAnsi="Arial" w:cs="Arial"/>
          <w:i/>
        </w:rPr>
      </w:pPr>
      <w:r>
        <w:rPr>
          <w:rFonts w:ascii="Arial" w:eastAsia="Calibri" w:hAnsi="Arial" w:cs="Arial"/>
        </w:rPr>
        <w:t xml:space="preserve">Title: </w:t>
      </w:r>
      <w:r w:rsidRPr="00DD3BDE">
        <w:rPr>
          <w:rFonts w:ascii="Arial" w:eastAsia="Calibri" w:hAnsi="Arial" w:cs="Arial"/>
          <w:i/>
        </w:rPr>
        <w:t>Targeting microRNA-33 to reduce intracr</w:t>
      </w:r>
      <w:r>
        <w:rPr>
          <w:rFonts w:ascii="Arial" w:eastAsia="Calibri" w:hAnsi="Arial" w:cs="Arial"/>
          <w:i/>
        </w:rPr>
        <w:t xml:space="preserve">anial atherosclerosis and other </w:t>
      </w:r>
      <w:r w:rsidRPr="00DD3BDE">
        <w:rPr>
          <w:rFonts w:ascii="Arial" w:eastAsia="Calibri" w:hAnsi="Arial" w:cs="Arial"/>
          <w:i/>
        </w:rPr>
        <w:t>neurovascular hallmarks of vascular cognitive impairment and dementia</w:t>
      </w:r>
      <w:r w:rsidRPr="008435D7">
        <w:rPr>
          <w:rFonts w:ascii="Arial" w:eastAsia="Calibri" w:hAnsi="Arial" w:cs="Arial"/>
          <w:i/>
        </w:rPr>
        <w:tab/>
      </w:r>
    </w:p>
    <w:p w14:paraId="712F33A7" w14:textId="77777777" w:rsidR="00DD3BDE" w:rsidRPr="008435D7" w:rsidRDefault="00DD3BDE" w:rsidP="00DD3BDE">
      <w:pPr>
        <w:spacing w:after="0" w:line="240" w:lineRule="auto"/>
        <w:rPr>
          <w:rFonts w:ascii="Arial" w:eastAsia="Calibri" w:hAnsi="Arial" w:cs="Arial"/>
        </w:rPr>
      </w:pPr>
      <w:r>
        <w:rPr>
          <w:rFonts w:ascii="Arial" w:eastAsia="Calibri" w:hAnsi="Arial" w:cs="Arial"/>
        </w:rPr>
        <w:t xml:space="preserve">Principal Investigator: </w:t>
      </w:r>
      <w:r w:rsidRPr="008435D7">
        <w:rPr>
          <w:rFonts w:ascii="Arial" w:eastAsia="Calibri" w:hAnsi="Arial" w:cs="Arial"/>
        </w:rPr>
        <w:t>Ryan E. Temel</w:t>
      </w:r>
    </w:p>
    <w:p w14:paraId="4312AE38" w14:textId="3E1D38B0" w:rsidR="00DD3BDE" w:rsidRPr="00786B26" w:rsidRDefault="00DD3BDE" w:rsidP="00DD3BDE">
      <w:pPr>
        <w:spacing w:after="0" w:line="240" w:lineRule="auto"/>
        <w:rPr>
          <w:rFonts w:ascii="Arial" w:eastAsia="Calibri" w:hAnsi="Arial" w:cs="Arial"/>
        </w:rPr>
      </w:pPr>
      <w:r>
        <w:rPr>
          <w:rFonts w:ascii="Arial" w:eastAsia="Calibri" w:hAnsi="Arial" w:cs="Arial"/>
        </w:rPr>
        <w:t>Agency:  NIH, NINDS</w:t>
      </w:r>
    </w:p>
    <w:p w14:paraId="5925D26C" w14:textId="77777777" w:rsidR="00DD3BDE" w:rsidRDefault="00DD3BDE" w:rsidP="00DD3BDE">
      <w:pPr>
        <w:spacing w:after="0" w:line="240" w:lineRule="auto"/>
        <w:rPr>
          <w:rFonts w:ascii="Arial" w:eastAsia="Calibri" w:hAnsi="Arial" w:cs="Arial"/>
        </w:rPr>
      </w:pPr>
      <w:r w:rsidRPr="008435D7">
        <w:rPr>
          <w:rFonts w:ascii="Arial" w:eastAsia="Calibri" w:hAnsi="Arial" w:cs="Arial"/>
        </w:rPr>
        <w:t>Grant No.:</w:t>
      </w:r>
      <w:r>
        <w:rPr>
          <w:rFonts w:ascii="Arial" w:eastAsia="Calibri" w:hAnsi="Arial" w:cs="Arial"/>
        </w:rPr>
        <w:t xml:space="preserve"> </w:t>
      </w:r>
      <w:r w:rsidRPr="00DD3BDE">
        <w:rPr>
          <w:rFonts w:ascii="Arial" w:eastAsia="Calibri" w:hAnsi="Arial" w:cs="Arial"/>
        </w:rPr>
        <w:t>R21NS111979</w:t>
      </w:r>
    </w:p>
    <w:p w14:paraId="5D56F54F" w14:textId="1D94CA1A" w:rsidR="00DD3BDE" w:rsidRDefault="00DD3BDE" w:rsidP="00DD3BDE">
      <w:pPr>
        <w:spacing w:after="0" w:line="240" w:lineRule="auto"/>
        <w:rPr>
          <w:rFonts w:ascii="Arial" w:eastAsia="Calibri" w:hAnsi="Arial" w:cs="Arial"/>
        </w:rPr>
      </w:pPr>
      <w:r>
        <w:rPr>
          <w:rFonts w:ascii="Arial" w:eastAsia="Calibri" w:hAnsi="Arial" w:cs="Arial"/>
        </w:rPr>
        <w:t xml:space="preserve">Period: </w:t>
      </w:r>
      <w:r w:rsidRPr="00DD3BDE">
        <w:rPr>
          <w:rFonts w:ascii="Arial" w:eastAsia="Calibri" w:hAnsi="Arial" w:cs="Arial"/>
        </w:rPr>
        <w:t>04/01/2019 – 03/31/2021</w:t>
      </w:r>
    </w:p>
    <w:p w14:paraId="3278801A" w14:textId="77777777" w:rsidR="00DD3BDE" w:rsidRPr="00DD3BDE" w:rsidRDefault="00DD3BDE" w:rsidP="00DD3BDE">
      <w:pPr>
        <w:spacing w:after="0" w:line="240" w:lineRule="auto"/>
        <w:rPr>
          <w:rFonts w:ascii="Arial" w:eastAsia="Calibri" w:hAnsi="Arial" w:cs="Arial"/>
        </w:rPr>
      </w:pPr>
      <w:r>
        <w:rPr>
          <w:rFonts w:ascii="Arial" w:eastAsia="Calibri" w:hAnsi="Arial" w:cs="Arial"/>
        </w:rPr>
        <w:t>Major Goal of Research: Determine whether miR-33 antagonism reduces intracranial atherosclerosis and other neurovascular pathologies associate</w:t>
      </w:r>
      <w:r w:rsidRPr="00DD3BDE">
        <w:rPr>
          <w:rFonts w:ascii="Arial" w:eastAsia="Calibri" w:hAnsi="Arial" w:cs="Arial"/>
        </w:rPr>
        <w:t>d with vascular cognitive impairment and dementia</w:t>
      </w:r>
      <w:r w:rsidRPr="00DD3BDE">
        <w:rPr>
          <w:rFonts w:ascii="Arial" w:eastAsia="Calibri" w:hAnsi="Arial" w:cs="Arial"/>
        </w:rPr>
        <w:tab/>
      </w:r>
    </w:p>
    <w:p w14:paraId="055D0485" w14:textId="600171D2" w:rsidR="008435D7" w:rsidRDefault="008435D7" w:rsidP="001263C6">
      <w:pPr>
        <w:spacing w:after="0" w:line="240" w:lineRule="auto"/>
        <w:rPr>
          <w:rFonts w:ascii="Arial" w:eastAsia="Calibri" w:hAnsi="Arial" w:cs="Arial"/>
        </w:rPr>
      </w:pPr>
    </w:p>
    <w:p w14:paraId="7133FD32" w14:textId="457B5F74" w:rsidR="001263C6" w:rsidRPr="008435D7" w:rsidRDefault="008435D7" w:rsidP="001263C6">
      <w:pPr>
        <w:spacing w:after="0" w:line="240" w:lineRule="auto"/>
        <w:rPr>
          <w:rFonts w:ascii="Arial" w:eastAsia="Calibri" w:hAnsi="Arial" w:cs="Arial"/>
          <w:i/>
        </w:rPr>
      </w:pPr>
      <w:r>
        <w:rPr>
          <w:rFonts w:ascii="Arial" w:eastAsia="Calibri" w:hAnsi="Arial" w:cs="Arial"/>
        </w:rPr>
        <w:t xml:space="preserve">Title: </w:t>
      </w:r>
      <w:r w:rsidR="001263C6" w:rsidRPr="008435D7">
        <w:rPr>
          <w:rFonts w:ascii="Arial" w:eastAsia="Calibri" w:hAnsi="Arial" w:cs="Arial"/>
          <w:i/>
        </w:rPr>
        <w:t xml:space="preserve">TRAF6 </w:t>
      </w:r>
      <w:proofErr w:type="spellStart"/>
      <w:r w:rsidR="001263C6" w:rsidRPr="008435D7">
        <w:rPr>
          <w:rFonts w:ascii="Arial" w:eastAsia="Calibri" w:hAnsi="Arial" w:cs="Arial"/>
          <w:i/>
        </w:rPr>
        <w:t>nanoimmunotherapy</w:t>
      </w:r>
      <w:proofErr w:type="spellEnd"/>
      <w:r w:rsidR="001263C6" w:rsidRPr="008435D7">
        <w:rPr>
          <w:rFonts w:ascii="Arial" w:eastAsia="Calibri" w:hAnsi="Arial" w:cs="Arial"/>
          <w:i/>
        </w:rPr>
        <w:t xml:space="preserve"> to resolve plaque inflammation</w:t>
      </w:r>
      <w:r w:rsidR="001263C6" w:rsidRPr="008435D7">
        <w:rPr>
          <w:rFonts w:ascii="Arial" w:eastAsia="Calibri" w:hAnsi="Arial" w:cs="Arial"/>
          <w:i/>
        </w:rPr>
        <w:tab/>
      </w:r>
    </w:p>
    <w:p w14:paraId="55374902" w14:textId="550C266D" w:rsidR="008435D7" w:rsidRDefault="008435D7" w:rsidP="008435D7">
      <w:pPr>
        <w:spacing w:after="0" w:line="240" w:lineRule="auto"/>
        <w:rPr>
          <w:rFonts w:ascii="Arial" w:eastAsia="Calibri" w:hAnsi="Arial" w:cs="Arial"/>
        </w:rPr>
      </w:pPr>
      <w:r>
        <w:rPr>
          <w:rFonts w:ascii="Arial" w:eastAsia="Calibri" w:hAnsi="Arial" w:cs="Arial"/>
        </w:rPr>
        <w:t xml:space="preserve">Principal Investigator: </w:t>
      </w:r>
      <w:r w:rsidR="00DD3BDE">
        <w:rPr>
          <w:rFonts w:ascii="Arial" w:eastAsia="Calibri" w:hAnsi="Arial" w:cs="Arial"/>
        </w:rPr>
        <w:t>Willem Mulder</w:t>
      </w:r>
    </w:p>
    <w:p w14:paraId="3BF40A2A" w14:textId="77777777" w:rsidR="008435D7" w:rsidRPr="008435D7" w:rsidRDefault="008435D7" w:rsidP="008435D7">
      <w:pPr>
        <w:spacing w:after="0" w:line="240" w:lineRule="auto"/>
        <w:rPr>
          <w:rFonts w:ascii="Arial" w:eastAsia="Calibri" w:hAnsi="Arial" w:cs="Arial"/>
        </w:rPr>
      </w:pPr>
      <w:r>
        <w:rPr>
          <w:rFonts w:ascii="Arial" w:eastAsia="Calibri" w:hAnsi="Arial" w:cs="Arial"/>
        </w:rPr>
        <w:t>Co-</w:t>
      </w:r>
      <w:r w:rsidRPr="008435D7">
        <w:rPr>
          <w:rFonts w:ascii="Arial" w:eastAsia="Calibri" w:hAnsi="Arial" w:cs="Arial"/>
        </w:rPr>
        <w:t>Investigator:  Ryan E. Temel</w:t>
      </w:r>
    </w:p>
    <w:p w14:paraId="7D63F189" w14:textId="77777777" w:rsidR="008435D7" w:rsidRPr="00786B26" w:rsidRDefault="008435D7" w:rsidP="008435D7">
      <w:pPr>
        <w:spacing w:after="0" w:line="240" w:lineRule="auto"/>
        <w:rPr>
          <w:rFonts w:ascii="Arial" w:eastAsia="Calibri" w:hAnsi="Arial" w:cs="Arial"/>
        </w:rPr>
      </w:pPr>
      <w:r w:rsidRPr="00786B26">
        <w:rPr>
          <w:rFonts w:ascii="Arial" w:eastAsia="Calibri" w:hAnsi="Arial" w:cs="Arial"/>
        </w:rPr>
        <w:t>Agency:  NIH, NHLBI</w:t>
      </w:r>
    </w:p>
    <w:p w14:paraId="56E5BE0D" w14:textId="2F1867EA" w:rsidR="008435D7" w:rsidRDefault="008435D7" w:rsidP="008435D7">
      <w:pPr>
        <w:spacing w:after="0" w:line="240" w:lineRule="auto"/>
        <w:rPr>
          <w:rFonts w:ascii="Arial" w:eastAsia="Calibri" w:hAnsi="Arial" w:cs="Arial"/>
        </w:rPr>
      </w:pPr>
      <w:r w:rsidRPr="008435D7">
        <w:rPr>
          <w:rFonts w:ascii="Arial" w:eastAsia="Calibri" w:hAnsi="Arial" w:cs="Arial"/>
        </w:rPr>
        <w:t>Grant No.:</w:t>
      </w:r>
      <w:r>
        <w:rPr>
          <w:rFonts w:ascii="Arial" w:eastAsia="Calibri" w:hAnsi="Arial" w:cs="Arial"/>
        </w:rPr>
        <w:t xml:space="preserve"> R01 HL144072</w:t>
      </w:r>
    </w:p>
    <w:p w14:paraId="6631B8B5" w14:textId="2CD8D3F0" w:rsidR="008435D7" w:rsidRDefault="008435D7" w:rsidP="008435D7">
      <w:pPr>
        <w:spacing w:after="0" w:line="240" w:lineRule="auto"/>
        <w:rPr>
          <w:rFonts w:ascii="Arial" w:eastAsia="Calibri" w:hAnsi="Arial" w:cs="Arial"/>
        </w:rPr>
      </w:pPr>
      <w:r>
        <w:rPr>
          <w:rFonts w:ascii="Arial" w:eastAsia="Calibri" w:hAnsi="Arial" w:cs="Arial"/>
        </w:rPr>
        <w:lastRenderedPageBreak/>
        <w:t>Period: 7/1/2018– 06/30/2022</w:t>
      </w:r>
    </w:p>
    <w:p w14:paraId="58859933" w14:textId="0D910EB8" w:rsidR="008435D7" w:rsidRPr="001263C6" w:rsidRDefault="008435D7" w:rsidP="008435D7">
      <w:pPr>
        <w:spacing w:after="0" w:line="240" w:lineRule="auto"/>
        <w:rPr>
          <w:rFonts w:ascii="Arial" w:eastAsia="Calibri" w:hAnsi="Arial" w:cs="Arial"/>
        </w:rPr>
      </w:pPr>
      <w:r>
        <w:rPr>
          <w:rFonts w:ascii="Arial" w:eastAsia="Calibri" w:hAnsi="Arial" w:cs="Arial"/>
        </w:rPr>
        <w:t>Major Goal of Research:</w:t>
      </w:r>
      <w:r w:rsidR="009B4C93">
        <w:rPr>
          <w:rFonts w:ascii="Arial" w:eastAsia="Calibri" w:hAnsi="Arial" w:cs="Arial"/>
        </w:rPr>
        <w:t xml:space="preserve"> Induce</w:t>
      </w:r>
      <w:r w:rsidR="009B4C93" w:rsidRPr="009B4C93">
        <w:rPr>
          <w:rFonts w:ascii="Arial" w:eastAsia="Calibri" w:hAnsi="Arial" w:cs="Arial"/>
        </w:rPr>
        <w:t xml:space="preserve"> plaque regression in a nonhuman primate atherosclerosis model by TRAF6i-HDL. </w:t>
      </w:r>
    </w:p>
    <w:p w14:paraId="6705C4AD" w14:textId="77777777" w:rsidR="008435D7" w:rsidRDefault="008435D7" w:rsidP="001263C6">
      <w:pPr>
        <w:spacing w:after="0" w:line="240" w:lineRule="auto"/>
        <w:rPr>
          <w:rFonts w:ascii="Arial" w:eastAsia="Calibri" w:hAnsi="Arial" w:cs="Arial"/>
        </w:rPr>
      </w:pPr>
    </w:p>
    <w:p w14:paraId="0FC8488C" w14:textId="76E3B61D" w:rsidR="002D0CD9" w:rsidRPr="00B57A60" w:rsidRDefault="002D0CD9" w:rsidP="002D0CD9">
      <w:pPr>
        <w:widowControl w:val="0"/>
        <w:autoSpaceDE w:val="0"/>
        <w:autoSpaceDN w:val="0"/>
        <w:adjustRightInd w:val="0"/>
        <w:spacing w:after="0" w:line="240" w:lineRule="auto"/>
        <w:rPr>
          <w:rFonts w:ascii="Arial" w:hAnsi="Arial" w:cs="Arial"/>
        </w:rPr>
      </w:pPr>
      <w:r w:rsidRPr="00B57A60">
        <w:rPr>
          <w:rFonts w:ascii="Arial" w:hAnsi="Arial" w:cs="Arial"/>
        </w:rPr>
        <w:t xml:space="preserve">Title: </w:t>
      </w:r>
      <w:r>
        <w:rPr>
          <w:rFonts w:ascii="Arial" w:hAnsi="Arial" w:cs="Arial"/>
          <w:i/>
        </w:rPr>
        <w:t>Contributions of Hepatic a</w:t>
      </w:r>
      <w:r w:rsidRPr="007F3F77">
        <w:rPr>
          <w:rFonts w:ascii="Arial" w:hAnsi="Arial" w:cs="Arial"/>
          <w:i/>
        </w:rPr>
        <w:t>nd Intestina</w:t>
      </w:r>
      <w:r>
        <w:rPr>
          <w:rFonts w:ascii="Arial" w:hAnsi="Arial" w:cs="Arial"/>
          <w:i/>
        </w:rPr>
        <w:t>l Pathways t</w:t>
      </w:r>
      <w:r w:rsidRPr="007F3F77">
        <w:rPr>
          <w:rFonts w:ascii="Arial" w:hAnsi="Arial" w:cs="Arial"/>
          <w:i/>
        </w:rPr>
        <w:t>o Cholesterol Excretion</w:t>
      </w:r>
    </w:p>
    <w:p w14:paraId="1193E2ED" w14:textId="77777777" w:rsidR="002D0CD9" w:rsidRPr="00B57A60" w:rsidRDefault="002D0CD9" w:rsidP="002D0CD9">
      <w:pPr>
        <w:widowControl w:val="0"/>
        <w:autoSpaceDE w:val="0"/>
        <w:autoSpaceDN w:val="0"/>
        <w:adjustRightInd w:val="0"/>
        <w:spacing w:after="0" w:line="240" w:lineRule="auto"/>
        <w:rPr>
          <w:rFonts w:ascii="Arial" w:hAnsi="Arial" w:cs="Arial"/>
        </w:rPr>
      </w:pPr>
      <w:r w:rsidRPr="00B57A60">
        <w:rPr>
          <w:rFonts w:ascii="Arial" w:hAnsi="Arial" w:cs="Arial"/>
        </w:rPr>
        <w:t xml:space="preserve">Principal Investigator: </w:t>
      </w:r>
      <w:r>
        <w:rPr>
          <w:rFonts w:ascii="Arial" w:hAnsi="Arial" w:cs="Arial"/>
        </w:rPr>
        <w:t>Gregory Graf</w:t>
      </w:r>
      <w:r w:rsidRPr="00B57A60">
        <w:rPr>
          <w:rFonts w:ascii="Arial" w:hAnsi="Arial" w:cs="Arial"/>
        </w:rPr>
        <w:t xml:space="preserve"> </w:t>
      </w:r>
    </w:p>
    <w:p w14:paraId="71755D2F" w14:textId="77777777" w:rsidR="002D0CD9" w:rsidRPr="00B57A60" w:rsidRDefault="002D0CD9" w:rsidP="002D0CD9">
      <w:pPr>
        <w:widowControl w:val="0"/>
        <w:autoSpaceDE w:val="0"/>
        <w:autoSpaceDN w:val="0"/>
        <w:adjustRightInd w:val="0"/>
        <w:spacing w:after="0" w:line="240" w:lineRule="auto"/>
        <w:rPr>
          <w:rFonts w:ascii="Arial" w:hAnsi="Arial" w:cs="Arial"/>
        </w:rPr>
      </w:pPr>
      <w:r w:rsidRPr="00B57A60">
        <w:rPr>
          <w:rFonts w:ascii="Arial" w:hAnsi="Arial" w:cs="Arial"/>
        </w:rPr>
        <w:t>Co-Investigator: Ryan E. Temel</w:t>
      </w:r>
    </w:p>
    <w:p w14:paraId="3E84D207" w14:textId="77777777" w:rsidR="002D0CD9" w:rsidRPr="00B57A60" w:rsidRDefault="002D0CD9" w:rsidP="002D0CD9">
      <w:pPr>
        <w:widowControl w:val="0"/>
        <w:autoSpaceDE w:val="0"/>
        <w:autoSpaceDN w:val="0"/>
        <w:adjustRightInd w:val="0"/>
        <w:spacing w:after="0" w:line="240" w:lineRule="auto"/>
        <w:rPr>
          <w:rFonts w:ascii="Arial" w:hAnsi="Arial" w:cs="Arial"/>
        </w:rPr>
      </w:pPr>
      <w:r>
        <w:rPr>
          <w:rFonts w:ascii="Arial" w:hAnsi="Arial" w:cs="Arial"/>
        </w:rPr>
        <w:t>Agency:  NIH, NIDDK</w:t>
      </w:r>
    </w:p>
    <w:p w14:paraId="087A3D6C" w14:textId="77777777" w:rsidR="002D0CD9" w:rsidRPr="00B57A60" w:rsidRDefault="002D0CD9" w:rsidP="002D0CD9">
      <w:pPr>
        <w:widowControl w:val="0"/>
        <w:autoSpaceDE w:val="0"/>
        <w:autoSpaceDN w:val="0"/>
        <w:adjustRightInd w:val="0"/>
        <w:spacing w:after="0" w:line="240" w:lineRule="auto"/>
        <w:rPr>
          <w:rFonts w:ascii="Arial" w:hAnsi="Arial" w:cs="Arial"/>
        </w:rPr>
      </w:pPr>
      <w:r w:rsidRPr="00B57A60">
        <w:rPr>
          <w:rFonts w:ascii="Arial" w:hAnsi="Arial" w:cs="Arial"/>
        </w:rPr>
        <w:t xml:space="preserve">Grant No.: </w:t>
      </w:r>
      <w:r w:rsidRPr="007F3F77">
        <w:rPr>
          <w:rFonts w:ascii="Arial" w:hAnsi="Arial" w:cs="Arial"/>
        </w:rPr>
        <w:t>R01DK113625</w:t>
      </w:r>
    </w:p>
    <w:p w14:paraId="54931AC5" w14:textId="77777777" w:rsidR="002D0CD9" w:rsidRPr="00B57A60" w:rsidRDefault="002D0CD9" w:rsidP="002D0CD9">
      <w:pPr>
        <w:widowControl w:val="0"/>
        <w:autoSpaceDE w:val="0"/>
        <w:autoSpaceDN w:val="0"/>
        <w:adjustRightInd w:val="0"/>
        <w:spacing w:after="0" w:line="240" w:lineRule="auto"/>
        <w:rPr>
          <w:rFonts w:ascii="Arial" w:hAnsi="Arial" w:cs="Arial"/>
        </w:rPr>
      </w:pPr>
      <w:r>
        <w:rPr>
          <w:rFonts w:ascii="Arial" w:hAnsi="Arial" w:cs="Arial"/>
        </w:rPr>
        <w:t>Period: 09/13/17 – 07/31/22</w:t>
      </w:r>
    </w:p>
    <w:p w14:paraId="5F8C5A0E" w14:textId="0D3C4133" w:rsidR="002D0CD9" w:rsidRDefault="002D0CD9" w:rsidP="002D0CD9">
      <w:pPr>
        <w:spacing w:after="0" w:line="240" w:lineRule="auto"/>
        <w:rPr>
          <w:rFonts w:ascii="Arial" w:eastAsia="Calibri" w:hAnsi="Arial" w:cs="Arial"/>
        </w:rPr>
      </w:pPr>
      <w:r>
        <w:rPr>
          <w:rFonts w:ascii="Arial" w:hAnsi="Arial" w:cs="Arial"/>
        </w:rPr>
        <w:t xml:space="preserve">Major Goal of Research: Determine how </w:t>
      </w:r>
      <w:r w:rsidRPr="007F3F77">
        <w:rPr>
          <w:rFonts w:ascii="Arial" w:hAnsi="Arial" w:cs="Arial"/>
        </w:rPr>
        <w:t>transintestinal cholesterol elimination (TICE) is regulated by</w:t>
      </w:r>
      <w:r w:rsidR="007D6DE6">
        <w:rPr>
          <w:rFonts w:ascii="Arial" w:hAnsi="Arial" w:cs="Arial"/>
        </w:rPr>
        <w:t xml:space="preserve"> biliary cholesterol output, </w:t>
      </w:r>
      <w:r w:rsidRPr="007F3F77">
        <w:rPr>
          <w:rFonts w:ascii="Arial" w:hAnsi="Arial" w:cs="Arial"/>
        </w:rPr>
        <w:t>pl</w:t>
      </w:r>
      <w:r w:rsidR="007D6DE6">
        <w:rPr>
          <w:rFonts w:ascii="Arial" w:hAnsi="Arial" w:cs="Arial"/>
        </w:rPr>
        <w:t xml:space="preserve">asma lipoprotein donors, and </w:t>
      </w:r>
      <w:r w:rsidRPr="007F3F77">
        <w:rPr>
          <w:rFonts w:ascii="Arial" w:hAnsi="Arial" w:cs="Arial"/>
        </w:rPr>
        <w:t>an enterohepatic signaling axis involving bile acids</w:t>
      </w:r>
      <w:r>
        <w:rPr>
          <w:rFonts w:ascii="Arial" w:hAnsi="Arial" w:cs="Arial"/>
        </w:rPr>
        <w:t>.</w:t>
      </w:r>
    </w:p>
    <w:p w14:paraId="773A0B07" w14:textId="527F977D" w:rsidR="001263C6" w:rsidRDefault="001263C6" w:rsidP="00B23414">
      <w:pPr>
        <w:widowControl w:val="0"/>
        <w:autoSpaceDE w:val="0"/>
        <w:autoSpaceDN w:val="0"/>
        <w:adjustRightInd w:val="0"/>
        <w:spacing w:after="0" w:line="240" w:lineRule="auto"/>
        <w:rPr>
          <w:rFonts w:ascii="Arial" w:hAnsi="Arial" w:cs="Arial"/>
        </w:rPr>
      </w:pPr>
    </w:p>
    <w:p w14:paraId="635E7065" w14:textId="61157D13" w:rsidR="001263C6" w:rsidRPr="001263C6" w:rsidRDefault="001263C6" w:rsidP="00B23414">
      <w:pPr>
        <w:widowControl w:val="0"/>
        <w:autoSpaceDE w:val="0"/>
        <w:autoSpaceDN w:val="0"/>
        <w:adjustRightInd w:val="0"/>
        <w:spacing w:after="0" w:line="240" w:lineRule="auto"/>
        <w:rPr>
          <w:rFonts w:ascii="Arial" w:hAnsi="Arial" w:cs="Arial"/>
          <w:u w:val="single"/>
        </w:rPr>
      </w:pPr>
      <w:r w:rsidRPr="001263C6">
        <w:rPr>
          <w:rFonts w:ascii="Arial" w:hAnsi="Arial" w:cs="Arial"/>
          <w:u w:val="single"/>
        </w:rPr>
        <w:t>Previous</w:t>
      </w:r>
    </w:p>
    <w:p w14:paraId="5D6FAD7E" w14:textId="77777777" w:rsidR="00D50A9E" w:rsidRPr="000A3E30" w:rsidRDefault="00D50A9E" w:rsidP="00D50A9E">
      <w:pPr>
        <w:spacing w:after="0" w:line="240" w:lineRule="auto"/>
        <w:rPr>
          <w:rFonts w:ascii="Arial" w:eastAsia="Calibri" w:hAnsi="Arial" w:cs="Arial"/>
          <w:b/>
        </w:rPr>
      </w:pPr>
      <w:r w:rsidRPr="000A3E30">
        <w:rPr>
          <w:rFonts w:ascii="Arial" w:eastAsia="Calibri" w:hAnsi="Arial" w:cs="Arial"/>
        </w:rPr>
        <w:t xml:space="preserve">Title: </w:t>
      </w:r>
      <w:r w:rsidRPr="000A3E30">
        <w:rPr>
          <w:rFonts w:ascii="Arial" w:eastAsia="Calibri" w:hAnsi="Arial" w:cs="Arial"/>
          <w:i/>
        </w:rPr>
        <w:t>A novel mechanism for ART-associated dyslipidemia and atherosclerosis</w:t>
      </w:r>
    </w:p>
    <w:p w14:paraId="205FA5D9" w14:textId="77777777" w:rsidR="00D50A9E" w:rsidRPr="000A3E30" w:rsidRDefault="00D50A9E" w:rsidP="00D50A9E">
      <w:pPr>
        <w:spacing w:after="0" w:line="240" w:lineRule="auto"/>
        <w:rPr>
          <w:rFonts w:ascii="Arial" w:eastAsia="Calibri" w:hAnsi="Arial" w:cs="Arial"/>
        </w:rPr>
      </w:pPr>
      <w:r w:rsidRPr="000A3E30">
        <w:rPr>
          <w:rFonts w:ascii="Arial" w:eastAsia="Calibri" w:hAnsi="Arial" w:cs="Arial"/>
        </w:rPr>
        <w:t>Principal Investigator:</w:t>
      </w:r>
      <w:r w:rsidRPr="000A3E30">
        <w:rPr>
          <w:rFonts w:ascii="Arial" w:eastAsia="Calibri" w:hAnsi="Arial" w:cs="Arial"/>
          <w:b/>
        </w:rPr>
        <w:t xml:space="preserve">  </w:t>
      </w:r>
      <w:r w:rsidRPr="000A3E30">
        <w:rPr>
          <w:rFonts w:ascii="Arial" w:eastAsia="Calibri" w:hAnsi="Arial" w:cs="Arial"/>
        </w:rPr>
        <w:t>Changcheng Zhou</w:t>
      </w:r>
    </w:p>
    <w:p w14:paraId="106A3EF7" w14:textId="77777777" w:rsidR="00D50A9E" w:rsidRPr="000A3E30" w:rsidRDefault="00D50A9E" w:rsidP="00D50A9E">
      <w:pPr>
        <w:spacing w:after="0" w:line="240" w:lineRule="auto"/>
        <w:rPr>
          <w:rFonts w:ascii="Arial" w:eastAsia="Calibri" w:hAnsi="Arial" w:cs="Arial"/>
        </w:rPr>
      </w:pPr>
      <w:r w:rsidRPr="000A3E30">
        <w:rPr>
          <w:rFonts w:ascii="Arial" w:eastAsia="Calibri" w:hAnsi="Arial" w:cs="Arial"/>
        </w:rPr>
        <w:t>Co-Investigator: Ryan Temel</w:t>
      </w:r>
    </w:p>
    <w:p w14:paraId="56FE47FF" w14:textId="77777777" w:rsidR="00D50A9E" w:rsidRPr="000A3E30" w:rsidRDefault="00D50A9E" w:rsidP="00D50A9E">
      <w:pPr>
        <w:spacing w:after="0" w:line="240" w:lineRule="auto"/>
        <w:rPr>
          <w:rFonts w:ascii="Arial" w:eastAsia="Calibri" w:hAnsi="Arial" w:cs="Arial"/>
        </w:rPr>
      </w:pPr>
      <w:r w:rsidRPr="000A3E30">
        <w:rPr>
          <w:rFonts w:ascii="Arial" w:eastAsia="Calibri" w:hAnsi="Arial" w:cs="Arial"/>
        </w:rPr>
        <w:t>Agency:  NIH, NHLBI</w:t>
      </w:r>
    </w:p>
    <w:p w14:paraId="741CD94D" w14:textId="77777777" w:rsidR="00D50A9E" w:rsidRPr="000A3E30" w:rsidRDefault="00D50A9E" w:rsidP="00D50A9E">
      <w:pPr>
        <w:widowControl w:val="0"/>
        <w:autoSpaceDE w:val="0"/>
        <w:autoSpaceDN w:val="0"/>
        <w:adjustRightInd w:val="0"/>
        <w:spacing w:after="0" w:line="240" w:lineRule="auto"/>
        <w:rPr>
          <w:rFonts w:ascii="Arial" w:hAnsi="Arial" w:cs="Arial"/>
        </w:rPr>
      </w:pPr>
      <w:r w:rsidRPr="000A3E30">
        <w:rPr>
          <w:rFonts w:ascii="Arial" w:eastAsia="Calibri" w:hAnsi="Arial" w:cs="Arial"/>
        </w:rPr>
        <w:t xml:space="preserve">Grant No.: </w:t>
      </w:r>
      <w:r w:rsidRPr="000A3E30">
        <w:rPr>
          <w:rFonts w:ascii="Arial" w:hAnsi="Arial" w:cs="Arial"/>
        </w:rPr>
        <w:t>R01HL123358</w:t>
      </w:r>
    </w:p>
    <w:p w14:paraId="11C94CBF" w14:textId="77777777" w:rsidR="00D50A9E" w:rsidRDefault="00D50A9E" w:rsidP="00D50A9E">
      <w:pPr>
        <w:widowControl w:val="0"/>
        <w:autoSpaceDE w:val="0"/>
        <w:autoSpaceDN w:val="0"/>
        <w:adjustRightInd w:val="0"/>
        <w:spacing w:after="0" w:line="240" w:lineRule="auto"/>
        <w:rPr>
          <w:rFonts w:ascii="Arial" w:hAnsi="Arial" w:cs="Arial"/>
        </w:rPr>
      </w:pPr>
      <w:r w:rsidRPr="000A3E30">
        <w:rPr>
          <w:rFonts w:ascii="Arial" w:eastAsia="Calibri" w:hAnsi="Arial" w:cs="Arial"/>
        </w:rPr>
        <w:t>Period</w:t>
      </w:r>
      <w:r w:rsidRPr="000A3E30">
        <w:rPr>
          <w:rFonts w:ascii="Arial" w:eastAsia="Calibri" w:hAnsi="Arial" w:cs="Arial"/>
          <w:b/>
        </w:rPr>
        <w:t>:</w:t>
      </w:r>
      <w:r w:rsidRPr="000A3E30">
        <w:rPr>
          <w:rFonts w:ascii="Arial" w:eastAsia="Calibri" w:hAnsi="Arial" w:cs="Arial"/>
        </w:rPr>
        <w:t xml:space="preserve"> </w:t>
      </w:r>
      <w:r w:rsidRPr="000A3E30">
        <w:rPr>
          <w:rFonts w:ascii="Arial" w:hAnsi="Arial" w:cs="Arial"/>
        </w:rPr>
        <w:t>08/01/15 - 05/31/19</w:t>
      </w:r>
    </w:p>
    <w:p w14:paraId="7291F2E8" w14:textId="77777777" w:rsidR="00D50A9E" w:rsidRDefault="00D50A9E" w:rsidP="00D50A9E">
      <w:pPr>
        <w:widowControl w:val="0"/>
        <w:autoSpaceDE w:val="0"/>
        <w:autoSpaceDN w:val="0"/>
        <w:adjustRightInd w:val="0"/>
        <w:spacing w:after="0" w:line="240" w:lineRule="auto"/>
        <w:rPr>
          <w:rFonts w:ascii="Arial" w:hAnsi="Arial" w:cs="Arial"/>
        </w:rPr>
      </w:pPr>
      <w:r>
        <w:rPr>
          <w:rFonts w:ascii="Arial" w:hAnsi="Arial" w:cs="Arial"/>
        </w:rPr>
        <w:t>Major Goal of Research: Determine whether antiviral therapy for HIV</w:t>
      </w:r>
      <w:r w:rsidRPr="000A3E30">
        <w:rPr>
          <w:rFonts w:ascii="Arial" w:hAnsi="Arial" w:cs="Arial"/>
        </w:rPr>
        <w:t xml:space="preserve"> </w:t>
      </w:r>
      <w:r>
        <w:rPr>
          <w:rFonts w:ascii="Arial" w:hAnsi="Arial" w:cs="Arial"/>
        </w:rPr>
        <w:t>increases dyslipidemia and atherosclerosis by stimulating PXR.</w:t>
      </w:r>
    </w:p>
    <w:p w14:paraId="149CC649" w14:textId="64209EF9" w:rsidR="00D50A9E" w:rsidRDefault="00D50A9E" w:rsidP="008435D7">
      <w:pPr>
        <w:spacing w:after="0" w:line="240" w:lineRule="auto"/>
        <w:rPr>
          <w:rFonts w:ascii="Arial" w:eastAsia="Calibri" w:hAnsi="Arial" w:cs="Arial"/>
        </w:rPr>
      </w:pPr>
    </w:p>
    <w:p w14:paraId="649A423C" w14:textId="6A27D17E" w:rsidR="008435D7" w:rsidRPr="00786B26" w:rsidRDefault="008435D7" w:rsidP="008435D7">
      <w:pPr>
        <w:spacing w:after="0" w:line="240" w:lineRule="auto"/>
        <w:rPr>
          <w:rFonts w:ascii="Arial" w:eastAsia="Calibri" w:hAnsi="Arial" w:cs="Arial"/>
          <w:b/>
        </w:rPr>
      </w:pPr>
      <w:r w:rsidRPr="00786B26">
        <w:rPr>
          <w:rFonts w:ascii="Arial" w:eastAsia="Calibri" w:hAnsi="Arial" w:cs="Arial"/>
        </w:rPr>
        <w:t xml:space="preserve">Title: </w:t>
      </w:r>
      <w:r w:rsidRPr="00786B26">
        <w:rPr>
          <w:rFonts w:ascii="Arial" w:eastAsia="Calibri" w:hAnsi="Arial" w:cs="Arial"/>
          <w:i/>
        </w:rPr>
        <w:t>Effects of Anti-miR-33 on Atherosclerosis Regression and RCT in Nonhuman Primates</w:t>
      </w:r>
    </w:p>
    <w:p w14:paraId="0CEBDB3B" w14:textId="77777777" w:rsidR="008435D7" w:rsidRPr="00786B26" w:rsidRDefault="008435D7" w:rsidP="008435D7">
      <w:pPr>
        <w:spacing w:after="0" w:line="240" w:lineRule="auto"/>
        <w:rPr>
          <w:rFonts w:ascii="Arial" w:eastAsia="Calibri" w:hAnsi="Arial" w:cs="Arial"/>
        </w:rPr>
      </w:pPr>
      <w:r>
        <w:rPr>
          <w:rFonts w:ascii="Arial" w:eastAsia="Calibri" w:hAnsi="Arial" w:cs="Arial"/>
        </w:rPr>
        <w:t>Principal Investigator</w:t>
      </w:r>
      <w:r w:rsidRPr="00786B26">
        <w:rPr>
          <w:rFonts w:ascii="Arial" w:eastAsia="Calibri" w:hAnsi="Arial" w:cs="Arial"/>
        </w:rPr>
        <w:t>:</w:t>
      </w:r>
      <w:r w:rsidRPr="00786B26">
        <w:rPr>
          <w:rFonts w:ascii="Arial" w:eastAsia="Calibri" w:hAnsi="Arial" w:cs="Arial"/>
          <w:b/>
        </w:rPr>
        <w:t xml:space="preserve">  </w:t>
      </w:r>
      <w:r w:rsidRPr="00786B26">
        <w:rPr>
          <w:rFonts w:ascii="Arial" w:eastAsia="Calibri" w:hAnsi="Arial" w:cs="Arial"/>
        </w:rPr>
        <w:t>Ryan E. Temel</w:t>
      </w:r>
    </w:p>
    <w:p w14:paraId="4F461B55" w14:textId="77777777" w:rsidR="008435D7" w:rsidRPr="00786B26" w:rsidRDefault="008435D7" w:rsidP="008435D7">
      <w:pPr>
        <w:spacing w:after="0" w:line="240" w:lineRule="auto"/>
        <w:rPr>
          <w:rFonts w:ascii="Arial" w:eastAsia="Calibri" w:hAnsi="Arial" w:cs="Arial"/>
        </w:rPr>
      </w:pPr>
      <w:r w:rsidRPr="00786B26">
        <w:rPr>
          <w:rFonts w:ascii="Arial" w:eastAsia="Calibri" w:hAnsi="Arial" w:cs="Arial"/>
        </w:rPr>
        <w:t>Agency:  NIH, NHLBI</w:t>
      </w:r>
    </w:p>
    <w:p w14:paraId="4F936EDC" w14:textId="77777777" w:rsidR="008435D7" w:rsidRPr="00786B26" w:rsidRDefault="008435D7" w:rsidP="008435D7">
      <w:pPr>
        <w:tabs>
          <w:tab w:val="left" w:pos="540"/>
          <w:tab w:val="left" w:pos="5040"/>
          <w:tab w:val="left" w:pos="8640"/>
        </w:tabs>
        <w:spacing w:after="0" w:line="240" w:lineRule="auto"/>
        <w:rPr>
          <w:rFonts w:ascii="Arial" w:eastAsia="Calibri" w:hAnsi="Arial" w:cs="Arial"/>
        </w:rPr>
      </w:pPr>
      <w:r w:rsidRPr="00786B26">
        <w:rPr>
          <w:rFonts w:ascii="Arial" w:eastAsia="Calibri" w:hAnsi="Arial" w:cs="Arial"/>
        </w:rPr>
        <w:t>Grant No.: R01HL111932</w:t>
      </w:r>
    </w:p>
    <w:p w14:paraId="6610C5BC" w14:textId="77777777" w:rsidR="008435D7" w:rsidRDefault="008435D7" w:rsidP="008435D7">
      <w:pPr>
        <w:tabs>
          <w:tab w:val="left" w:pos="540"/>
          <w:tab w:val="left" w:pos="5040"/>
          <w:tab w:val="left" w:pos="8640"/>
        </w:tabs>
        <w:spacing w:after="0" w:line="240" w:lineRule="auto"/>
        <w:rPr>
          <w:rFonts w:ascii="Arial" w:eastAsia="Calibri" w:hAnsi="Arial" w:cs="Arial"/>
        </w:rPr>
      </w:pPr>
      <w:r w:rsidRPr="00786B26">
        <w:rPr>
          <w:rFonts w:ascii="Arial" w:eastAsia="Calibri" w:hAnsi="Arial" w:cs="Arial"/>
        </w:rPr>
        <w:t>Period</w:t>
      </w:r>
      <w:r w:rsidRPr="00786B26">
        <w:rPr>
          <w:rFonts w:ascii="Arial" w:eastAsia="Calibri" w:hAnsi="Arial" w:cs="Arial"/>
          <w:b/>
        </w:rPr>
        <w:t>:</w:t>
      </w:r>
      <w:r w:rsidRPr="00786B26">
        <w:rPr>
          <w:rFonts w:ascii="Arial" w:eastAsia="Calibri" w:hAnsi="Arial" w:cs="Arial"/>
        </w:rPr>
        <w:t xml:space="preserve"> 02/01/13 – 11/30/17</w:t>
      </w:r>
      <w:r>
        <w:rPr>
          <w:rFonts w:ascii="Arial" w:eastAsia="Calibri" w:hAnsi="Arial" w:cs="Arial"/>
        </w:rPr>
        <w:t xml:space="preserve"> (No cost extension until 11/30/18)</w:t>
      </w:r>
    </w:p>
    <w:p w14:paraId="2D7FFCEF" w14:textId="20E5877D" w:rsidR="004A19A0" w:rsidRDefault="008435D7" w:rsidP="00DD3BDE">
      <w:pPr>
        <w:tabs>
          <w:tab w:val="left" w:pos="540"/>
          <w:tab w:val="left" w:pos="5040"/>
          <w:tab w:val="left" w:pos="8640"/>
        </w:tabs>
        <w:spacing w:after="0" w:line="240" w:lineRule="auto"/>
        <w:rPr>
          <w:rFonts w:ascii="Arial" w:eastAsia="Calibri" w:hAnsi="Arial" w:cs="Arial"/>
        </w:rPr>
      </w:pPr>
      <w:r>
        <w:rPr>
          <w:rFonts w:ascii="Arial" w:eastAsia="Calibri" w:hAnsi="Arial" w:cs="Arial"/>
        </w:rPr>
        <w:t>Major Goal of Research:  Determine the impact of miR-33a/b antagonism on atherosclerosis regression and reverse cholesterol transport using a nonhuman primate model.</w:t>
      </w:r>
    </w:p>
    <w:p w14:paraId="208B9C0E" w14:textId="77777777" w:rsidR="00D50A9E" w:rsidRPr="00DD3BDE" w:rsidRDefault="00D50A9E" w:rsidP="00DD3BDE">
      <w:pPr>
        <w:tabs>
          <w:tab w:val="left" w:pos="540"/>
          <w:tab w:val="left" w:pos="5040"/>
          <w:tab w:val="left" w:pos="8640"/>
        </w:tabs>
        <w:spacing w:after="0" w:line="240" w:lineRule="auto"/>
        <w:rPr>
          <w:rFonts w:ascii="Arial" w:eastAsia="Calibri" w:hAnsi="Arial" w:cs="Arial"/>
        </w:rPr>
      </w:pPr>
    </w:p>
    <w:sectPr w:rsidR="00D50A9E" w:rsidRPr="00DD3BDE" w:rsidSect="00CB72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61AE"/>
    <w:multiLevelType w:val="hybridMultilevel"/>
    <w:tmpl w:val="26D2C99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A365F12"/>
    <w:multiLevelType w:val="hybridMultilevel"/>
    <w:tmpl w:val="9A30C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97C04"/>
    <w:multiLevelType w:val="hybridMultilevel"/>
    <w:tmpl w:val="DD185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8C41DF"/>
    <w:multiLevelType w:val="hybridMultilevel"/>
    <w:tmpl w:val="9A50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D2FCD"/>
    <w:multiLevelType w:val="hybridMultilevel"/>
    <w:tmpl w:val="AC70C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A7628"/>
    <w:multiLevelType w:val="hybridMultilevel"/>
    <w:tmpl w:val="5D003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EB2ED0"/>
    <w:multiLevelType w:val="hybridMultilevel"/>
    <w:tmpl w:val="C7CA2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A52322"/>
    <w:multiLevelType w:val="hybridMultilevel"/>
    <w:tmpl w:val="CD364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D50D16"/>
    <w:multiLevelType w:val="hybridMultilevel"/>
    <w:tmpl w:val="3B2A1F06"/>
    <w:lvl w:ilvl="0" w:tplc="A55C23A4">
      <w:start w:val="1"/>
      <w:numFmt w:val="decimal"/>
      <w:lvlText w:val="%1."/>
      <w:lvlJc w:val="left"/>
      <w:pPr>
        <w:ind w:left="360" w:hanging="360"/>
      </w:pPr>
      <w:rPr>
        <w:rFonts w:ascii="Helvetica" w:eastAsiaTheme="minorHAnsi" w:hAnsi="Helvetica" w:cs="Helveti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782879"/>
    <w:multiLevelType w:val="hybridMultilevel"/>
    <w:tmpl w:val="3B2A1F06"/>
    <w:lvl w:ilvl="0" w:tplc="A55C23A4">
      <w:start w:val="1"/>
      <w:numFmt w:val="decimal"/>
      <w:lvlText w:val="%1."/>
      <w:lvlJc w:val="left"/>
      <w:pPr>
        <w:ind w:left="360" w:hanging="360"/>
      </w:pPr>
      <w:rPr>
        <w:rFonts w:ascii="Helvetica" w:eastAsiaTheme="minorHAnsi" w:hAnsi="Helvetica" w:cs="Helveti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2A2029"/>
    <w:multiLevelType w:val="hybridMultilevel"/>
    <w:tmpl w:val="FE0E1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9A371E"/>
    <w:multiLevelType w:val="hybridMultilevel"/>
    <w:tmpl w:val="9C9A4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E32E39"/>
    <w:multiLevelType w:val="hybridMultilevel"/>
    <w:tmpl w:val="E4CC1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400672"/>
    <w:multiLevelType w:val="hybridMultilevel"/>
    <w:tmpl w:val="FA5893E2"/>
    <w:lvl w:ilvl="0" w:tplc="EB1043C8">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3"/>
  </w:num>
  <w:num w:numId="3">
    <w:abstractNumId w:val="4"/>
  </w:num>
  <w:num w:numId="4">
    <w:abstractNumId w:val="2"/>
  </w:num>
  <w:num w:numId="5">
    <w:abstractNumId w:val="5"/>
  </w:num>
  <w:num w:numId="6">
    <w:abstractNumId w:val="0"/>
  </w:num>
  <w:num w:numId="7">
    <w:abstractNumId w:val="12"/>
  </w:num>
  <w:num w:numId="8">
    <w:abstractNumId w:val="11"/>
  </w:num>
  <w:num w:numId="9">
    <w:abstractNumId w:val="10"/>
  </w:num>
  <w:num w:numId="10">
    <w:abstractNumId w:val="6"/>
  </w:num>
  <w:num w:numId="11">
    <w:abstractNumId w:val="7"/>
  </w:num>
  <w:num w:numId="12">
    <w:abstractNumId w:val="8"/>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20B"/>
    <w:rsid w:val="0003066F"/>
    <w:rsid w:val="000366B7"/>
    <w:rsid w:val="00047AC9"/>
    <w:rsid w:val="00052DE0"/>
    <w:rsid w:val="00056D78"/>
    <w:rsid w:val="000806F8"/>
    <w:rsid w:val="000A3E30"/>
    <w:rsid w:val="000C15FE"/>
    <w:rsid w:val="000C255A"/>
    <w:rsid w:val="000C2A3C"/>
    <w:rsid w:val="000C426D"/>
    <w:rsid w:val="000D349E"/>
    <w:rsid w:val="000D6C07"/>
    <w:rsid w:val="000D78B3"/>
    <w:rsid w:val="00120AD7"/>
    <w:rsid w:val="001263C6"/>
    <w:rsid w:val="00142938"/>
    <w:rsid w:val="001502BE"/>
    <w:rsid w:val="00170490"/>
    <w:rsid w:val="00175329"/>
    <w:rsid w:val="001824C0"/>
    <w:rsid w:val="001824D9"/>
    <w:rsid w:val="00185877"/>
    <w:rsid w:val="001A5CF2"/>
    <w:rsid w:val="001C37CB"/>
    <w:rsid w:val="001D1816"/>
    <w:rsid w:val="00205766"/>
    <w:rsid w:val="00211503"/>
    <w:rsid w:val="00214438"/>
    <w:rsid w:val="002179F8"/>
    <w:rsid w:val="00224053"/>
    <w:rsid w:val="00270F2A"/>
    <w:rsid w:val="00276D52"/>
    <w:rsid w:val="0028121B"/>
    <w:rsid w:val="002D0CD9"/>
    <w:rsid w:val="002E732A"/>
    <w:rsid w:val="0030497E"/>
    <w:rsid w:val="003351BC"/>
    <w:rsid w:val="003460FD"/>
    <w:rsid w:val="00353B3B"/>
    <w:rsid w:val="00373881"/>
    <w:rsid w:val="0039181A"/>
    <w:rsid w:val="003B1FB2"/>
    <w:rsid w:val="003C7D2F"/>
    <w:rsid w:val="003F704B"/>
    <w:rsid w:val="00400A92"/>
    <w:rsid w:val="00410A50"/>
    <w:rsid w:val="00413BD2"/>
    <w:rsid w:val="00430748"/>
    <w:rsid w:val="00442C5E"/>
    <w:rsid w:val="004447F1"/>
    <w:rsid w:val="00456DA3"/>
    <w:rsid w:val="00471EDF"/>
    <w:rsid w:val="00486762"/>
    <w:rsid w:val="00491108"/>
    <w:rsid w:val="004A19A0"/>
    <w:rsid w:val="004C1557"/>
    <w:rsid w:val="004C45C5"/>
    <w:rsid w:val="004D182F"/>
    <w:rsid w:val="00501464"/>
    <w:rsid w:val="00510CAB"/>
    <w:rsid w:val="0051136E"/>
    <w:rsid w:val="00513433"/>
    <w:rsid w:val="005266EE"/>
    <w:rsid w:val="00543021"/>
    <w:rsid w:val="005431D0"/>
    <w:rsid w:val="005444C3"/>
    <w:rsid w:val="00585331"/>
    <w:rsid w:val="005A000F"/>
    <w:rsid w:val="005B08B8"/>
    <w:rsid w:val="005B3586"/>
    <w:rsid w:val="005C1730"/>
    <w:rsid w:val="005C17BF"/>
    <w:rsid w:val="005D30A2"/>
    <w:rsid w:val="005D30B1"/>
    <w:rsid w:val="005E784A"/>
    <w:rsid w:val="005F6CEA"/>
    <w:rsid w:val="00655442"/>
    <w:rsid w:val="00655899"/>
    <w:rsid w:val="006569C3"/>
    <w:rsid w:val="00667F84"/>
    <w:rsid w:val="006730E6"/>
    <w:rsid w:val="0068396B"/>
    <w:rsid w:val="00691F46"/>
    <w:rsid w:val="00693086"/>
    <w:rsid w:val="006A7139"/>
    <w:rsid w:val="006E684F"/>
    <w:rsid w:val="0070646A"/>
    <w:rsid w:val="007151B3"/>
    <w:rsid w:val="00723FD4"/>
    <w:rsid w:val="00726A68"/>
    <w:rsid w:val="0073287A"/>
    <w:rsid w:val="00750BA2"/>
    <w:rsid w:val="00752C90"/>
    <w:rsid w:val="00783603"/>
    <w:rsid w:val="00786B26"/>
    <w:rsid w:val="00786B33"/>
    <w:rsid w:val="00791D31"/>
    <w:rsid w:val="007946C9"/>
    <w:rsid w:val="007A3390"/>
    <w:rsid w:val="007C1FBF"/>
    <w:rsid w:val="007C57A1"/>
    <w:rsid w:val="007D6DE6"/>
    <w:rsid w:val="007E5075"/>
    <w:rsid w:val="007F012E"/>
    <w:rsid w:val="007F3F77"/>
    <w:rsid w:val="007F45BD"/>
    <w:rsid w:val="008435D7"/>
    <w:rsid w:val="00886757"/>
    <w:rsid w:val="008B6756"/>
    <w:rsid w:val="008C2036"/>
    <w:rsid w:val="008C63C3"/>
    <w:rsid w:val="008E27DB"/>
    <w:rsid w:val="008F23A5"/>
    <w:rsid w:val="008F664B"/>
    <w:rsid w:val="00922D32"/>
    <w:rsid w:val="0092442C"/>
    <w:rsid w:val="009626CE"/>
    <w:rsid w:val="00983139"/>
    <w:rsid w:val="009872FF"/>
    <w:rsid w:val="009947B5"/>
    <w:rsid w:val="009B4C93"/>
    <w:rsid w:val="009C2651"/>
    <w:rsid w:val="009C5937"/>
    <w:rsid w:val="00A045AF"/>
    <w:rsid w:val="00A04C18"/>
    <w:rsid w:val="00A1776B"/>
    <w:rsid w:val="00A20767"/>
    <w:rsid w:val="00A2407F"/>
    <w:rsid w:val="00A24E3C"/>
    <w:rsid w:val="00A271AB"/>
    <w:rsid w:val="00A27930"/>
    <w:rsid w:val="00A34C4F"/>
    <w:rsid w:val="00A42347"/>
    <w:rsid w:val="00A56846"/>
    <w:rsid w:val="00A708D6"/>
    <w:rsid w:val="00A77591"/>
    <w:rsid w:val="00A844F8"/>
    <w:rsid w:val="00AA14C1"/>
    <w:rsid w:val="00AA184B"/>
    <w:rsid w:val="00AC4EE6"/>
    <w:rsid w:val="00AD21A3"/>
    <w:rsid w:val="00AD6FFC"/>
    <w:rsid w:val="00AE36EC"/>
    <w:rsid w:val="00AE3712"/>
    <w:rsid w:val="00AF3CE0"/>
    <w:rsid w:val="00AF6194"/>
    <w:rsid w:val="00B021E5"/>
    <w:rsid w:val="00B1023C"/>
    <w:rsid w:val="00B23414"/>
    <w:rsid w:val="00B40B8D"/>
    <w:rsid w:val="00B413A8"/>
    <w:rsid w:val="00B56EF8"/>
    <w:rsid w:val="00B57A60"/>
    <w:rsid w:val="00B61E24"/>
    <w:rsid w:val="00B85778"/>
    <w:rsid w:val="00B86D61"/>
    <w:rsid w:val="00BA2B30"/>
    <w:rsid w:val="00BD0F3D"/>
    <w:rsid w:val="00BF12B8"/>
    <w:rsid w:val="00BF6E8D"/>
    <w:rsid w:val="00C01045"/>
    <w:rsid w:val="00CB1A68"/>
    <w:rsid w:val="00CB720B"/>
    <w:rsid w:val="00CC518E"/>
    <w:rsid w:val="00CC6E3A"/>
    <w:rsid w:val="00CE5D53"/>
    <w:rsid w:val="00CE7DD9"/>
    <w:rsid w:val="00CF3866"/>
    <w:rsid w:val="00D42357"/>
    <w:rsid w:val="00D50A9E"/>
    <w:rsid w:val="00D63996"/>
    <w:rsid w:val="00D766C8"/>
    <w:rsid w:val="00D82FA1"/>
    <w:rsid w:val="00D879F2"/>
    <w:rsid w:val="00DB512E"/>
    <w:rsid w:val="00DC0621"/>
    <w:rsid w:val="00DC733F"/>
    <w:rsid w:val="00DC7748"/>
    <w:rsid w:val="00DD3BDE"/>
    <w:rsid w:val="00DD465C"/>
    <w:rsid w:val="00DE24FD"/>
    <w:rsid w:val="00DE4BD6"/>
    <w:rsid w:val="00DF029A"/>
    <w:rsid w:val="00E043A5"/>
    <w:rsid w:val="00E1092B"/>
    <w:rsid w:val="00E14A67"/>
    <w:rsid w:val="00E17A14"/>
    <w:rsid w:val="00E3597E"/>
    <w:rsid w:val="00E75961"/>
    <w:rsid w:val="00E9537E"/>
    <w:rsid w:val="00EC2B43"/>
    <w:rsid w:val="00EC57EC"/>
    <w:rsid w:val="00EE096B"/>
    <w:rsid w:val="00EF65FB"/>
    <w:rsid w:val="00F02A78"/>
    <w:rsid w:val="00F264B6"/>
    <w:rsid w:val="00F26903"/>
    <w:rsid w:val="00F47D62"/>
    <w:rsid w:val="00F728D0"/>
    <w:rsid w:val="00FA5D71"/>
    <w:rsid w:val="00FD3472"/>
    <w:rsid w:val="00FD5AB3"/>
    <w:rsid w:val="00FF3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CD5A9"/>
  <w15:docId w15:val="{0C4C453E-DE8F-4B00-A327-3243EFE4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B2"/>
  </w:style>
  <w:style w:type="paragraph" w:styleId="Heading1">
    <w:name w:val="heading 1"/>
    <w:basedOn w:val="Subtitle"/>
    <w:next w:val="Normal"/>
    <w:link w:val="Heading1Char"/>
    <w:qFormat/>
    <w:rsid w:val="00786B26"/>
    <w:pPr>
      <w:keepNext/>
      <w:numPr>
        <w:ilvl w:val="0"/>
      </w:numPr>
      <w:autoSpaceDE w:val="0"/>
      <w:autoSpaceDN w:val="0"/>
      <w:spacing w:before="360" w:after="120" w:line="240" w:lineRule="auto"/>
      <w:outlineLvl w:val="0"/>
    </w:pPr>
    <w:rPr>
      <w:rFonts w:ascii="Arial" w:eastAsia="Times New Roman" w:hAnsi="Arial" w:cs="Times New Roman"/>
      <w:b/>
      <w:i w:val="0"/>
      <w:iCs w:val="0"/>
      <w:color w:val="auto"/>
      <w:spacing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7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FieldCaption">
    <w:name w:val="Form Field Caption"/>
    <w:basedOn w:val="Normal"/>
    <w:rsid w:val="00F47D62"/>
    <w:pPr>
      <w:tabs>
        <w:tab w:val="left" w:pos="270"/>
      </w:tabs>
      <w:autoSpaceDE w:val="0"/>
      <w:autoSpaceDN w:val="0"/>
      <w:spacing w:after="0" w:line="240" w:lineRule="auto"/>
    </w:pPr>
    <w:rPr>
      <w:rFonts w:ascii="Arial" w:eastAsia="Times New Roman" w:hAnsi="Arial" w:cs="Arial"/>
      <w:sz w:val="16"/>
      <w:szCs w:val="16"/>
    </w:rPr>
  </w:style>
  <w:style w:type="character" w:styleId="Emphasis">
    <w:name w:val="Emphasis"/>
    <w:basedOn w:val="DefaultParagraphFont"/>
    <w:qFormat/>
    <w:rsid w:val="00F47D62"/>
    <w:rPr>
      <w:i/>
      <w:iCs/>
    </w:rPr>
  </w:style>
  <w:style w:type="paragraph" w:customStyle="1" w:styleId="DataField11pt-Single">
    <w:name w:val="Data Field 11pt-Single"/>
    <w:basedOn w:val="Normal"/>
    <w:link w:val="DataField11pt-SingleChar"/>
    <w:rsid w:val="0070646A"/>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locked/>
    <w:rsid w:val="0070646A"/>
    <w:rPr>
      <w:rFonts w:ascii="Arial" w:eastAsia="Times New Roman" w:hAnsi="Arial" w:cs="Arial"/>
      <w:szCs w:val="20"/>
    </w:rPr>
  </w:style>
  <w:style w:type="table" w:customStyle="1" w:styleId="TableGrid1">
    <w:name w:val="Table Grid1"/>
    <w:basedOn w:val="TableNormal"/>
    <w:next w:val="TableGrid"/>
    <w:uiPriority w:val="59"/>
    <w:rsid w:val="000C15FE"/>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36EC"/>
    <w:pPr>
      <w:spacing w:after="0" w:line="240" w:lineRule="auto"/>
      <w:ind w:left="720"/>
      <w:contextualSpacing/>
    </w:pPr>
    <w:rPr>
      <w:rFonts w:ascii="Times New Roman" w:eastAsia="Calibri" w:hAnsi="Times New Roman" w:cs="Arial"/>
      <w:iCs/>
      <w:sz w:val="24"/>
      <w:szCs w:val="24"/>
    </w:rPr>
  </w:style>
  <w:style w:type="character" w:customStyle="1" w:styleId="Heading1Char">
    <w:name w:val="Heading 1 Char"/>
    <w:basedOn w:val="DefaultParagraphFont"/>
    <w:link w:val="Heading1"/>
    <w:rsid w:val="00786B26"/>
    <w:rPr>
      <w:rFonts w:ascii="Arial" w:eastAsia="Times New Roman" w:hAnsi="Arial" w:cs="Times New Roman"/>
      <w:b/>
      <w:szCs w:val="24"/>
    </w:rPr>
  </w:style>
  <w:style w:type="paragraph" w:styleId="Subtitle">
    <w:name w:val="Subtitle"/>
    <w:basedOn w:val="Normal"/>
    <w:next w:val="Normal"/>
    <w:link w:val="SubtitleChar"/>
    <w:uiPriority w:val="11"/>
    <w:qFormat/>
    <w:rsid w:val="00786B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86B26"/>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5D30B1"/>
    <w:rPr>
      <w:color w:val="0000FF" w:themeColor="hyperlink"/>
      <w:u w:val="single"/>
    </w:rPr>
  </w:style>
  <w:style w:type="character" w:styleId="FollowedHyperlink">
    <w:name w:val="FollowedHyperlink"/>
    <w:basedOn w:val="DefaultParagraphFont"/>
    <w:uiPriority w:val="99"/>
    <w:semiHidden/>
    <w:unhideWhenUsed/>
    <w:rsid w:val="005D30B1"/>
    <w:rPr>
      <w:color w:val="800080" w:themeColor="followedHyperlink"/>
      <w:u w:val="single"/>
    </w:rPr>
  </w:style>
  <w:style w:type="paragraph" w:customStyle="1" w:styleId="Default">
    <w:name w:val="Default"/>
    <w:rsid w:val="005266E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72618">
      <w:bodyDiv w:val="1"/>
      <w:marLeft w:val="0"/>
      <w:marRight w:val="0"/>
      <w:marTop w:val="0"/>
      <w:marBottom w:val="0"/>
      <w:divBdr>
        <w:top w:val="none" w:sz="0" w:space="0" w:color="auto"/>
        <w:left w:val="none" w:sz="0" w:space="0" w:color="auto"/>
        <w:bottom w:val="none" w:sz="0" w:space="0" w:color="auto"/>
        <w:right w:val="none" w:sz="0" w:space="0" w:color="auto"/>
      </w:divBdr>
    </w:div>
    <w:div w:id="512915384">
      <w:bodyDiv w:val="1"/>
      <w:marLeft w:val="0"/>
      <w:marRight w:val="0"/>
      <w:marTop w:val="0"/>
      <w:marBottom w:val="0"/>
      <w:divBdr>
        <w:top w:val="none" w:sz="0" w:space="0" w:color="auto"/>
        <w:left w:val="none" w:sz="0" w:space="0" w:color="auto"/>
        <w:bottom w:val="none" w:sz="0" w:space="0" w:color="auto"/>
        <w:right w:val="none" w:sz="0" w:space="0" w:color="auto"/>
      </w:divBdr>
      <w:divsChild>
        <w:div w:id="1401948478">
          <w:marLeft w:val="0"/>
          <w:marRight w:val="0"/>
          <w:marTop w:val="0"/>
          <w:marBottom w:val="0"/>
          <w:divBdr>
            <w:top w:val="none" w:sz="0" w:space="0" w:color="auto"/>
            <w:left w:val="none" w:sz="0" w:space="0" w:color="auto"/>
            <w:bottom w:val="none" w:sz="0" w:space="0" w:color="auto"/>
            <w:right w:val="none" w:sz="0" w:space="0" w:color="auto"/>
          </w:divBdr>
        </w:div>
      </w:divsChild>
    </w:div>
    <w:div w:id="594023216">
      <w:bodyDiv w:val="1"/>
      <w:marLeft w:val="0"/>
      <w:marRight w:val="0"/>
      <w:marTop w:val="0"/>
      <w:marBottom w:val="0"/>
      <w:divBdr>
        <w:top w:val="none" w:sz="0" w:space="0" w:color="auto"/>
        <w:left w:val="none" w:sz="0" w:space="0" w:color="auto"/>
        <w:bottom w:val="none" w:sz="0" w:space="0" w:color="auto"/>
        <w:right w:val="none" w:sz="0" w:space="0" w:color="auto"/>
      </w:divBdr>
      <w:divsChild>
        <w:div w:id="613826902">
          <w:marLeft w:val="0"/>
          <w:marRight w:val="0"/>
          <w:marTop w:val="34"/>
          <w:marBottom w:val="34"/>
          <w:divBdr>
            <w:top w:val="none" w:sz="0" w:space="0" w:color="auto"/>
            <w:left w:val="none" w:sz="0" w:space="0" w:color="auto"/>
            <w:bottom w:val="none" w:sz="0" w:space="0" w:color="auto"/>
            <w:right w:val="none" w:sz="0" w:space="0" w:color="auto"/>
          </w:divBdr>
        </w:div>
      </w:divsChild>
    </w:div>
    <w:div w:id="595863177">
      <w:bodyDiv w:val="1"/>
      <w:marLeft w:val="0"/>
      <w:marRight w:val="0"/>
      <w:marTop w:val="0"/>
      <w:marBottom w:val="0"/>
      <w:divBdr>
        <w:top w:val="none" w:sz="0" w:space="0" w:color="auto"/>
        <w:left w:val="none" w:sz="0" w:space="0" w:color="auto"/>
        <w:bottom w:val="none" w:sz="0" w:space="0" w:color="auto"/>
        <w:right w:val="none" w:sz="0" w:space="0" w:color="auto"/>
      </w:divBdr>
    </w:div>
    <w:div w:id="1239435621">
      <w:bodyDiv w:val="1"/>
      <w:marLeft w:val="0"/>
      <w:marRight w:val="0"/>
      <w:marTop w:val="0"/>
      <w:marBottom w:val="0"/>
      <w:divBdr>
        <w:top w:val="none" w:sz="0" w:space="0" w:color="auto"/>
        <w:left w:val="none" w:sz="0" w:space="0" w:color="auto"/>
        <w:bottom w:val="none" w:sz="0" w:space="0" w:color="auto"/>
        <w:right w:val="none" w:sz="0" w:space="0" w:color="auto"/>
      </w:divBdr>
    </w:div>
    <w:div w:id="172170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cbi.nlm.nih.gov/sites/myncbi/ryan.temel.1/bibliograpahy/40455165/public/?sort=date&amp;direction=ascend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B00E8-D8A2-4A28-9B00-306966FA8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2280</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Temel, Ryan E</dc:creator>
  <cp:lastModifiedBy>Temel, Ryan</cp:lastModifiedBy>
  <cp:revision>3</cp:revision>
  <cp:lastPrinted>2015-05-28T13:19:00Z</cp:lastPrinted>
  <dcterms:created xsi:type="dcterms:W3CDTF">2019-07-29T15:29:00Z</dcterms:created>
  <dcterms:modified xsi:type="dcterms:W3CDTF">2019-07-29T15:52:00Z</dcterms:modified>
</cp:coreProperties>
</file>